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0257-2020-F-2021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杭州苕顺农副产品有限公司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原：专项技术要求T/CCAA 29-2016《食品安全管理体系食品批发和零售企业要求》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现：专项技术要求CCAA 0021-2014 《食品安全管理体系运输和贮藏企业要求》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原：</w:t>
            </w:r>
            <w:r>
              <w:rPr>
                <w:rFonts w:hint="eastAsia" w:ascii="宋体" w:hAnsi="宋体"/>
              </w:rPr>
              <w:t>冷冻水产和鲜活水产的销售</w:t>
            </w:r>
            <w:bookmarkEnd w:id="2"/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：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  <w:t>位于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</w:rPr>
              <w:t>浙江省杭州市余杭区良渚街道新港村杭州苕顺农副产品有限公司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  <w:t>分拣区的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</w:rPr>
              <w:t>冷冻水产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  <w:t>品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</w:rPr>
              <w:t>和鲜活水产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  <w:t>品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</w:rPr>
              <w:t>的销售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  <w:t>运输和贮藏</w:t>
            </w: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）</w:t>
            </w:r>
          </w:p>
          <w:p>
            <w:pPr>
              <w:snapToGrid w:val="0"/>
              <w:spacing w:line="240" w:lineRule="auto"/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</w:pPr>
            <w:bookmarkStart w:id="4" w:name="_GoBack"/>
            <w:bookmarkEnd w:id="4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default" w:eastAsia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2021-06-16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19A71"/>
    <w:multiLevelType w:val="singleLevel"/>
    <w:tmpl w:val="EAF19A71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203E657A"/>
    <w:multiLevelType w:val="singleLevel"/>
    <w:tmpl w:val="203E657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992635"/>
    <w:rsid w:val="4E885C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肖新龙</cp:lastModifiedBy>
  <cp:lastPrinted>2016-01-28T05:47:00Z</cp:lastPrinted>
  <dcterms:modified xsi:type="dcterms:W3CDTF">2021-06-16T02:16:40Z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2052-11.1.0.10577</vt:lpwstr>
  </property>
  <property fmtid="{D5CDD505-2E9C-101B-9397-08002B2CF9AE}" pid="4" name="ICV">
    <vt:lpwstr>F40769236AA048ACB1EE629F03947A4A</vt:lpwstr>
  </property>
</Properties>
</file>