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57216;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重庆臻远电气有限公司</w:t>
      </w:r>
      <w:bookmarkEnd w:id="0"/>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第2次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第2次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hint="eastAsia" w:eastAsia="楷体_GB2312"/>
          <w:sz w:val="32"/>
        </w:rPr>
      </w:pPr>
    </w:p>
    <w:p>
      <w:pPr>
        <w:snapToGrid w:val="0"/>
        <w:spacing w:line="480" w:lineRule="auto"/>
        <w:ind w:left="850"/>
        <w:rPr>
          <w:rFonts w:hint="eastAsia" w:eastAsia="楷体_GB2312"/>
          <w:sz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994"/>
        <w:gridCol w:w="565"/>
        <w:gridCol w:w="852"/>
        <w:gridCol w:w="2693"/>
        <w:gridCol w:w="424"/>
        <w:gridCol w:w="850"/>
        <w:gridCol w:w="286"/>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9"/>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6"/>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9"/>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1"/>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994" w:type="dxa"/>
            <w:vAlign w:val="center"/>
          </w:tcPr>
          <w:p>
            <w:pPr>
              <w:jc w:val="center"/>
              <w:rPr>
                <w:b/>
                <w:sz w:val="21"/>
                <w:szCs w:val="21"/>
              </w:rPr>
            </w:pPr>
            <w:r>
              <w:rPr>
                <w:rFonts w:hint="eastAsia"/>
                <w:b/>
                <w:sz w:val="21"/>
                <w:szCs w:val="21"/>
              </w:rPr>
              <w:t>职务</w:t>
            </w:r>
          </w:p>
        </w:tc>
        <w:tc>
          <w:tcPr>
            <w:tcW w:w="1417" w:type="dxa"/>
            <w:gridSpan w:val="2"/>
            <w:vAlign w:val="center"/>
          </w:tcPr>
          <w:p>
            <w:pPr>
              <w:jc w:val="center"/>
              <w:rPr>
                <w:b/>
                <w:sz w:val="21"/>
                <w:szCs w:val="21"/>
              </w:rPr>
            </w:pPr>
            <w:r>
              <w:rPr>
                <w:rFonts w:hint="eastAsia"/>
                <w:b/>
                <w:sz w:val="21"/>
                <w:szCs w:val="21"/>
              </w:rPr>
              <w:t>注册级别</w:t>
            </w:r>
          </w:p>
        </w:tc>
        <w:tc>
          <w:tcPr>
            <w:tcW w:w="2693" w:type="dxa"/>
            <w:vAlign w:val="center"/>
          </w:tcPr>
          <w:p>
            <w:pPr>
              <w:jc w:val="center"/>
              <w:rPr>
                <w:b/>
                <w:sz w:val="21"/>
                <w:szCs w:val="21"/>
              </w:rPr>
            </w:pPr>
            <w:r>
              <w:rPr>
                <w:rFonts w:hint="eastAsia"/>
                <w:b/>
                <w:sz w:val="21"/>
                <w:szCs w:val="21"/>
              </w:rPr>
              <w:t>审核员注册号</w:t>
            </w:r>
          </w:p>
        </w:tc>
        <w:tc>
          <w:tcPr>
            <w:tcW w:w="1560" w:type="dxa"/>
            <w:gridSpan w:val="3"/>
            <w:vAlign w:val="center"/>
          </w:tcPr>
          <w:p>
            <w:pPr>
              <w:jc w:val="center"/>
              <w:rPr>
                <w:b/>
                <w:sz w:val="21"/>
                <w:szCs w:val="21"/>
              </w:rPr>
            </w:pPr>
            <w:r>
              <w:rPr>
                <w:rFonts w:hint="eastAsia"/>
                <w:b/>
                <w:sz w:val="21"/>
                <w:szCs w:val="21"/>
              </w:rPr>
              <w:t>专业代码</w:t>
            </w:r>
          </w:p>
        </w:tc>
        <w:tc>
          <w:tcPr>
            <w:tcW w:w="1328"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994" w:type="dxa"/>
            <w:vAlign w:val="center"/>
          </w:tcPr>
          <w:p>
            <w:pPr>
              <w:jc w:val="center"/>
              <w:rPr>
                <w:b/>
                <w:sz w:val="21"/>
                <w:szCs w:val="21"/>
              </w:rPr>
            </w:pPr>
            <w:r>
              <w:rPr>
                <w:b/>
                <w:sz w:val="21"/>
                <w:szCs w:val="21"/>
              </w:rPr>
              <w:t>组长</w:t>
            </w:r>
          </w:p>
        </w:tc>
        <w:tc>
          <w:tcPr>
            <w:tcW w:w="1417" w:type="dxa"/>
            <w:gridSpan w:val="2"/>
            <w:vAlign w:val="center"/>
          </w:tcPr>
          <w:p>
            <w:pPr>
              <w:jc w:val="center"/>
              <w:rPr>
                <w:b/>
                <w:sz w:val="21"/>
                <w:szCs w:val="21"/>
              </w:rPr>
            </w:pPr>
            <w:r>
              <w:rPr>
                <w:b/>
                <w:sz w:val="21"/>
                <w:szCs w:val="21"/>
              </w:rPr>
              <w:t>O:审核员</w:t>
            </w:r>
          </w:p>
          <w:p>
            <w:pPr>
              <w:jc w:val="center"/>
              <w:rPr>
                <w:b/>
                <w:sz w:val="21"/>
                <w:szCs w:val="21"/>
              </w:rPr>
            </w:pPr>
            <w:r>
              <w:rPr>
                <w:b/>
                <w:sz w:val="21"/>
                <w:szCs w:val="21"/>
              </w:rPr>
              <w:t>E:审核员</w:t>
            </w:r>
          </w:p>
        </w:tc>
        <w:tc>
          <w:tcPr>
            <w:tcW w:w="2693" w:type="dxa"/>
            <w:vAlign w:val="center"/>
          </w:tcPr>
          <w:p>
            <w:pPr>
              <w:jc w:val="center"/>
              <w:rPr>
                <w:b/>
                <w:sz w:val="21"/>
                <w:szCs w:val="21"/>
              </w:rPr>
            </w:pPr>
            <w:r>
              <w:rPr>
                <w:b/>
                <w:sz w:val="21"/>
                <w:szCs w:val="21"/>
              </w:rPr>
              <w:t>2019-N1OHSMS-2093566</w:t>
            </w:r>
          </w:p>
          <w:p>
            <w:pPr>
              <w:jc w:val="center"/>
              <w:rPr>
                <w:b/>
                <w:sz w:val="21"/>
                <w:szCs w:val="21"/>
              </w:rPr>
            </w:pPr>
            <w:r>
              <w:rPr>
                <w:b/>
                <w:sz w:val="21"/>
                <w:szCs w:val="21"/>
              </w:rPr>
              <w:t>2021-N1EMS-3093566</w:t>
            </w:r>
          </w:p>
        </w:tc>
        <w:tc>
          <w:tcPr>
            <w:tcW w:w="1560" w:type="dxa"/>
            <w:gridSpan w:val="3"/>
            <w:vAlign w:val="center"/>
          </w:tcPr>
          <w:p>
            <w:pPr>
              <w:jc w:val="center"/>
              <w:rPr>
                <w:b/>
                <w:sz w:val="21"/>
                <w:szCs w:val="21"/>
              </w:rPr>
            </w:pPr>
            <w:r>
              <w:rPr>
                <w:b/>
                <w:sz w:val="21"/>
                <w:szCs w:val="21"/>
              </w:rPr>
              <w:t>O:29.10.07</w:t>
            </w:r>
          </w:p>
          <w:p>
            <w:pPr>
              <w:jc w:val="center"/>
              <w:rPr>
                <w:b/>
                <w:sz w:val="21"/>
                <w:szCs w:val="21"/>
              </w:rPr>
            </w:pPr>
            <w:r>
              <w:rPr>
                <w:b/>
                <w:sz w:val="21"/>
                <w:szCs w:val="21"/>
              </w:rPr>
              <w:t>E:29.10.07</w:t>
            </w:r>
          </w:p>
        </w:tc>
        <w:tc>
          <w:tcPr>
            <w:tcW w:w="1328"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994" w:type="dxa"/>
            <w:vAlign w:val="center"/>
          </w:tcPr>
          <w:p>
            <w:pPr>
              <w:jc w:val="center"/>
              <w:rPr>
                <w:b/>
                <w:sz w:val="21"/>
                <w:szCs w:val="21"/>
              </w:rPr>
            </w:pPr>
            <w:r>
              <w:rPr>
                <w:b/>
                <w:sz w:val="21"/>
                <w:szCs w:val="21"/>
              </w:rPr>
              <w:t>组员</w:t>
            </w:r>
          </w:p>
        </w:tc>
        <w:tc>
          <w:tcPr>
            <w:tcW w:w="1417" w:type="dxa"/>
            <w:gridSpan w:val="2"/>
            <w:vAlign w:val="center"/>
          </w:tcPr>
          <w:p>
            <w:pPr>
              <w:jc w:val="center"/>
              <w:rPr>
                <w:b/>
                <w:sz w:val="21"/>
                <w:szCs w:val="21"/>
              </w:rPr>
            </w:pPr>
            <w:r>
              <w:rPr>
                <w:b/>
                <w:sz w:val="21"/>
                <w:szCs w:val="21"/>
              </w:rPr>
              <w:t>E:审核员</w:t>
            </w:r>
          </w:p>
        </w:tc>
        <w:tc>
          <w:tcPr>
            <w:tcW w:w="2693" w:type="dxa"/>
            <w:vAlign w:val="center"/>
          </w:tcPr>
          <w:p>
            <w:pPr>
              <w:jc w:val="center"/>
              <w:rPr>
                <w:b/>
                <w:sz w:val="21"/>
                <w:szCs w:val="21"/>
              </w:rPr>
            </w:pPr>
            <w:r>
              <w:rPr>
                <w:b/>
                <w:sz w:val="21"/>
                <w:szCs w:val="21"/>
              </w:rPr>
              <w:t>2020-N1EMS-1267598</w:t>
            </w:r>
          </w:p>
        </w:tc>
        <w:tc>
          <w:tcPr>
            <w:tcW w:w="1560" w:type="dxa"/>
            <w:gridSpan w:val="3"/>
            <w:vAlign w:val="center"/>
          </w:tcPr>
          <w:p>
            <w:pPr>
              <w:jc w:val="center"/>
              <w:rPr>
                <w:b/>
                <w:sz w:val="21"/>
                <w:szCs w:val="21"/>
              </w:rPr>
            </w:pPr>
          </w:p>
        </w:tc>
        <w:tc>
          <w:tcPr>
            <w:tcW w:w="1328"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994" w:type="dxa"/>
          </w:tcPr>
          <w:p>
            <w:pPr>
              <w:rPr>
                <w:b/>
                <w:sz w:val="21"/>
                <w:szCs w:val="21"/>
              </w:rPr>
            </w:pPr>
          </w:p>
        </w:tc>
        <w:tc>
          <w:tcPr>
            <w:tcW w:w="1417" w:type="dxa"/>
            <w:gridSpan w:val="2"/>
          </w:tcPr>
          <w:p>
            <w:pPr>
              <w:rPr>
                <w:b/>
                <w:sz w:val="21"/>
                <w:szCs w:val="21"/>
              </w:rPr>
            </w:pPr>
          </w:p>
        </w:tc>
        <w:tc>
          <w:tcPr>
            <w:tcW w:w="2693" w:type="dxa"/>
          </w:tcPr>
          <w:p>
            <w:pPr>
              <w:rPr>
                <w:b/>
                <w:sz w:val="21"/>
                <w:szCs w:val="21"/>
              </w:rPr>
            </w:pPr>
          </w:p>
        </w:tc>
        <w:tc>
          <w:tcPr>
            <w:tcW w:w="1560" w:type="dxa"/>
            <w:gridSpan w:val="3"/>
          </w:tcPr>
          <w:p>
            <w:pPr>
              <w:rPr>
                <w:b/>
                <w:sz w:val="21"/>
                <w:szCs w:val="21"/>
              </w:rPr>
            </w:pPr>
          </w:p>
        </w:tc>
        <w:tc>
          <w:tcPr>
            <w:tcW w:w="132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994" w:type="dxa"/>
          </w:tcPr>
          <w:p>
            <w:pPr>
              <w:rPr>
                <w:b/>
                <w:sz w:val="21"/>
                <w:szCs w:val="21"/>
              </w:rPr>
            </w:pPr>
          </w:p>
        </w:tc>
        <w:tc>
          <w:tcPr>
            <w:tcW w:w="1417" w:type="dxa"/>
            <w:gridSpan w:val="2"/>
          </w:tcPr>
          <w:p>
            <w:pPr>
              <w:rPr>
                <w:b/>
                <w:sz w:val="21"/>
                <w:szCs w:val="21"/>
              </w:rPr>
            </w:pPr>
          </w:p>
        </w:tc>
        <w:tc>
          <w:tcPr>
            <w:tcW w:w="2693" w:type="dxa"/>
          </w:tcPr>
          <w:p>
            <w:pPr>
              <w:rPr>
                <w:b/>
                <w:sz w:val="21"/>
                <w:szCs w:val="21"/>
              </w:rPr>
            </w:pPr>
          </w:p>
        </w:tc>
        <w:tc>
          <w:tcPr>
            <w:tcW w:w="1560" w:type="dxa"/>
            <w:gridSpan w:val="3"/>
          </w:tcPr>
          <w:p>
            <w:pPr>
              <w:rPr>
                <w:b/>
                <w:sz w:val="21"/>
                <w:szCs w:val="21"/>
              </w:rPr>
            </w:pPr>
          </w:p>
        </w:tc>
        <w:tc>
          <w:tcPr>
            <w:tcW w:w="132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994" w:type="dxa"/>
          </w:tcPr>
          <w:p>
            <w:pPr>
              <w:rPr>
                <w:b/>
                <w:sz w:val="21"/>
                <w:szCs w:val="21"/>
              </w:rPr>
            </w:pPr>
          </w:p>
        </w:tc>
        <w:tc>
          <w:tcPr>
            <w:tcW w:w="1417" w:type="dxa"/>
            <w:gridSpan w:val="2"/>
          </w:tcPr>
          <w:p>
            <w:pPr>
              <w:rPr>
                <w:b/>
                <w:sz w:val="21"/>
                <w:szCs w:val="21"/>
              </w:rPr>
            </w:pPr>
          </w:p>
        </w:tc>
        <w:tc>
          <w:tcPr>
            <w:tcW w:w="2693" w:type="dxa"/>
          </w:tcPr>
          <w:p>
            <w:pPr>
              <w:rPr>
                <w:b/>
                <w:sz w:val="21"/>
                <w:szCs w:val="21"/>
              </w:rPr>
            </w:pPr>
          </w:p>
        </w:tc>
        <w:tc>
          <w:tcPr>
            <w:tcW w:w="1560" w:type="dxa"/>
            <w:gridSpan w:val="3"/>
          </w:tcPr>
          <w:p>
            <w:pPr>
              <w:rPr>
                <w:b/>
                <w:sz w:val="21"/>
                <w:szCs w:val="21"/>
              </w:rPr>
            </w:pPr>
          </w:p>
        </w:tc>
        <w:tc>
          <w:tcPr>
            <w:tcW w:w="132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1"/>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gridSpan w:val="2"/>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gridSpan w:val="2"/>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gridSpan w:val="2"/>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gridSpan w:val="2"/>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sz w:val="21"/>
              </w:rPr>
            </w:pPr>
            <w:bookmarkStart w:id="9" w:name="组织名称Add"/>
            <w:r>
              <w:rPr>
                <w:rFonts w:ascii="宋体"/>
                <w:b/>
                <w:sz w:val="21"/>
              </w:rPr>
              <w:t>重庆臻远电气有限公司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ascii="宋体"/>
                <w:b/>
                <w:sz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重庆市九龙坡区科园四街52号石桥铺标准厂房K座4楼4-1</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生产地址"/>
            <w:r>
              <w:rPr>
                <w:rFonts w:ascii="宋体"/>
                <w:b/>
                <w:sz w:val="21"/>
              </w:rPr>
              <w:t>重庆市北碚区悦复大道金科两江健康科技城E17工业用地8-2</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重庆市北碚区悦复大道金科两江健康科技城E17工业用地8-2</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r>
              <w:rPr>
                <w:rFonts w:hint="eastAsia" w:ascii="宋体"/>
                <w:b/>
                <w:sz w:val="21"/>
              </w:rPr>
              <w:t>吉小玉</w:t>
            </w:r>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023-62916301</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张秀宏</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张秀宏</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r>
              <w:rPr>
                <w:rFonts w:hint="eastAsia" w:ascii="宋体"/>
                <w:b/>
                <w:sz w:val="21"/>
              </w:rPr>
              <w:t>吉小玉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2021年06月15日 上午至2021年06月15日 下午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w:t>
            </w:r>
            <w:r>
              <w:rPr>
                <w:sz w:val="20"/>
              </w:rPr>
              <w:t>电力监测设备、仪器仪表的销售涉及的环境管理活动</w:t>
            </w:r>
          </w:p>
          <w:p>
            <w:pPr>
              <w:spacing w:line="360" w:lineRule="exact"/>
              <w:rPr>
                <w:rFonts w:ascii="宋体" w:hAnsi="宋体"/>
                <w:b/>
                <w:sz w:val="21"/>
                <w:szCs w:val="21"/>
              </w:rPr>
            </w:pPr>
            <w:bookmarkStart w:id="20" w:name="S勾选Add2"/>
            <w:r>
              <w:rPr>
                <w:rFonts w:hint="eastAsia" w:ascii="宋体" w:hAnsi="宋体"/>
                <w:b/>
                <w:sz w:val="21"/>
                <w:szCs w:val="21"/>
              </w:rPr>
              <w:t>■</w:t>
            </w:r>
            <w:bookmarkEnd w:id="20"/>
            <w:r>
              <w:rPr>
                <w:rFonts w:ascii="宋体" w:hAnsi="宋体"/>
                <w:b/>
                <w:sz w:val="21"/>
                <w:szCs w:val="21"/>
              </w:rPr>
              <w:t>OHSMS</w:t>
            </w:r>
            <w:r>
              <w:rPr>
                <w:rFonts w:hint="eastAsia" w:ascii="宋体" w:hAnsi="宋体"/>
                <w:b/>
                <w:sz w:val="21"/>
                <w:szCs w:val="21"/>
              </w:rPr>
              <w:t>：</w:t>
            </w:r>
            <w:r>
              <w:rPr>
                <w:sz w:val="20"/>
              </w:rPr>
              <w:t>电力监测设备、仪器仪表的销售所涉及的职业健康安全管理活动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1" w:name="专业代码"/>
            <w:r>
              <w:rPr>
                <w:rFonts w:ascii="宋体" w:hAnsi="宋体"/>
                <w:b/>
                <w:sz w:val="21"/>
                <w:szCs w:val="21"/>
              </w:rPr>
              <w:t>O：29.10.07</w:t>
            </w:r>
          </w:p>
          <w:p>
            <w:pPr>
              <w:spacing w:line="260" w:lineRule="exact"/>
              <w:rPr>
                <w:rFonts w:ascii="宋体" w:hAnsi="宋体"/>
                <w:b/>
                <w:sz w:val="21"/>
                <w:szCs w:val="21"/>
              </w:rPr>
            </w:pPr>
            <w:r>
              <w:rPr>
                <w:rFonts w:ascii="宋体" w:hAnsi="宋体"/>
                <w:b/>
                <w:sz w:val="21"/>
                <w:szCs w:val="21"/>
              </w:rPr>
              <w:t>E：29.10.07</w:t>
            </w:r>
            <w:bookmarkEnd w:id="21"/>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E：2022.9.9</w:t>
            </w:r>
          </w:p>
          <w:p>
            <w:pPr>
              <w:spacing w:line="260" w:lineRule="exact"/>
              <w:rPr>
                <w:rFonts w:ascii="宋体" w:hAnsi="宋体"/>
                <w:b/>
                <w:sz w:val="21"/>
                <w:szCs w:val="21"/>
              </w:rPr>
            </w:pPr>
            <w:r>
              <w:rPr>
                <w:rFonts w:hint="eastAsia" w:ascii="宋体" w:hAnsi="宋体"/>
                <w:b/>
                <w:sz w:val="21"/>
                <w:szCs w:val="21"/>
              </w:rPr>
              <w:t>0：2022.9.9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宋体"/>
                <w:b/>
                <w:sz w:val="21"/>
              </w:rPr>
              <w:t>2020.9.26</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sz w:val="20"/>
        </w:rPr>
        <w:t>变电站检测仪器、仪表的生产</w:t>
      </w:r>
      <w:r>
        <w:rPr>
          <w:rFonts w:hint="eastAsia"/>
          <w:sz w:val="20"/>
        </w:rPr>
        <w:t>和销售</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本次审核覆盖时间：从上次审核结束日的2020年9月26日至2021年6月15日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b/>
                <w:sz w:val="21"/>
                <w:szCs w:val="21"/>
              </w:rPr>
            </w:pPr>
            <w:r>
              <w:rPr>
                <w:rFonts w:hint="eastAsia" w:ascii="宋体" w:hAnsi="宋体"/>
                <w:b/>
                <w:sz w:val="21"/>
                <w:szCs w:val="21"/>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6"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b/>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Cs w:val="21"/>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ind w:firstLine="422" w:firstLineChars="200"/>
              <w:jc w:val="left"/>
              <w:rPr>
                <w:rFonts w:ascii="宋体" w:hAnsi="宋体"/>
                <w:b/>
                <w:sz w:val="21"/>
                <w:szCs w:val="21"/>
              </w:rPr>
            </w:pPr>
            <w:r>
              <w:rPr>
                <w:rFonts w:hint="eastAsia" w:ascii="宋体" w:hAnsi="宋体"/>
                <w:b/>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环境和职业健康安全管理方针：“保障安全  预防污染  遵守法规  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hint="eastAsia" w:ascii="宋体" w:hAnsi="宋体"/>
                <w:b/>
                <w:sz w:val="21"/>
                <w:szCs w:val="21"/>
              </w:rPr>
              <w:t>4、风险识别与控制策划（QMS）</w:t>
            </w:r>
          </w:p>
          <w:p>
            <w:pPr>
              <w:spacing w:line="28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r>
              <w:rPr>
                <w:rFonts w:hint="eastAsia" w:ascii="宋体" w:hAnsi="宋体"/>
                <w:b/>
                <w:color w:val="000000" w:themeColor="text1"/>
                <w:sz w:val="20"/>
              </w:rPr>
              <w:t>。</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r>
              <w:rPr>
                <w:rFonts w:hint="eastAsia" w:ascii="宋体" w:hAnsi="宋体"/>
                <w:b/>
                <w:color w:val="000000" w:themeColor="text1"/>
                <w:sz w:val="20"/>
              </w:rPr>
              <w:t>：/</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32" o:spid="_x0000_s1032"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31" o:spid="_x0000_s103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val="en-US" w:eastAsia="zh-CN"/>
              </w:rPr>
              <w:t xml:space="preserve"> 无      </w:t>
            </w:r>
            <w:r>
              <w:rPr>
                <w:rFonts w:hint="eastAsia" w:ascii="宋体" w:hAnsi="宋体"/>
                <w:b/>
                <w:sz w:val="21"/>
                <w:szCs w:val="21"/>
              </w:rPr>
              <w:t xml:space="preserve"> 删减理由：本公司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6"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3"/>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b/>
                <w:color w:val="000000" w:themeColor="text1"/>
                <w:szCs w:val="21"/>
              </w:rPr>
              <w:t>培训、会议、张贴。</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Cs/>
                <w:sz w:val="21"/>
                <w:szCs w:val="21"/>
              </w:rPr>
            </w:pPr>
            <w:r>
              <w:rPr>
                <w:rFonts w:hint="eastAsia" w:ascii="宋体" w:hAnsi="宋体"/>
                <w:b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ascii="宋体" w:hAnsi="宋体"/>
                <w:bCs/>
                <w:sz w:val="21"/>
                <w:szCs w:val="21"/>
              </w:rPr>
            </w:pPr>
            <w:r>
              <w:rPr>
                <w:rFonts w:hint="eastAsia" w:ascii="宋体" w:hAnsi="宋体"/>
                <w:bCs/>
                <w:sz w:val="21"/>
                <w:szCs w:val="21"/>
              </w:rPr>
              <w:t>环境、职业健康安全目标</w:t>
            </w:r>
          </w:p>
          <w:p>
            <w:pPr>
              <w:ind w:firstLine="420" w:firstLineChars="200"/>
              <w:rPr>
                <w:rFonts w:ascii="宋体" w:hAnsi="宋体"/>
                <w:b w:val="0"/>
                <w:bCs/>
                <w:sz w:val="21"/>
                <w:szCs w:val="21"/>
              </w:rPr>
            </w:pPr>
            <w:r>
              <w:rPr>
                <w:rFonts w:hint="eastAsia" w:ascii="宋体" w:hAnsi="宋体"/>
                <w:bCs/>
                <w:sz w:val="21"/>
                <w:szCs w:val="21"/>
              </w:rPr>
              <w:t>1、固体</w:t>
            </w:r>
            <w:r>
              <w:rPr>
                <w:rFonts w:hint="eastAsia" w:ascii="宋体" w:hAnsi="宋体"/>
                <w:b w:val="0"/>
                <w:bCs/>
                <w:sz w:val="21"/>
                <w:szCs w:val="21"/>
              </w:rPr>
              <w:t>处置合规率100%；</w:t>
            </w:r>
          </w:p>
          <w:p>
            <w:pPr>
              <w:ind w:firstLine="420" w:firstLineChars="200"/>
              <w:rPr>
                <w:rFonts w:ascii="宋体" w:hAnsi="宋体"/>
                <w:b w:val="0"/>
                <w:bCs/>
                <w:sz w:val="21"/>
                <w:szCs w:val="21"/>
              </w:rPr>
            </w:pPr>
            <w:r>
              <w:rPr>
                <w:rFonts w:hint="eastAsia" w:ascii="宋体" w:hAnsi="宋体"/>
                <w:b w:val="0"/>
                <w:bCs/>
                <w:sz w:val="21"/>
                <w:szCs w:val="21"/>
              </w:rPr>
              <w:t>2、火灾发生率为0；</w:t>
            </w:r>
          </w:p>
          <w:p>
            <w:pPr>
              <w:pStyle w:val="5"/>
              <w:spacing w:line="400" w:lineRule="exact"/>
              <w:ind w:firstLine="420" w:firstLineChars="200"/>
              <w:rPr>
                <w:rFonts w:ascii="宋体" w:hAnsi="宋体"/>
                <w:b w:val="0"/>
                <w:bCs/>
                <w:color w:val="auto"/>
                <w:kern w:val="2"/>
                <w:sz w:val="21"/>
                <w:szCs w:val="21"/>
              </w:rPr>
            </w:pPr>
            <w:r>
              <w:rPr>
                <w:rFonts w:hint="eastAsia" w:ascii="宋体" w:hAnsi="宋体"/>
                <w:b w:val="0"/>
                <w:bCs/>
                <w:color w:val="auto"/>
                <w:kern w:val="2"/>
                <w:sz w:val="21"/>
                <w:szCs w:val="21"/>
              </w:rPr>
              <w:t>3、环境污染事故为0</w:t>
            </w:r>
          </w:p>
          <w:p>
            <w:pPr>
              <w:spacing w:line="240" w:lineRule="exact"/>
              <w:rPr>
                <w:rFonts w:ascii="宋体" w:hAnsi="宋体"/>
                <w:b/>
                <w:sz w:val="21"/>
                <w:szCs w:val="21"/>
              </w:rPr>
            </w:pPr>
            <w:r>
              <w:rPr>
                <w:rFonts w:hint="eastAsia" w:ascii="宋体" w:hAnsi="宋体"/>
                <w:b w:val="0"/>
                <w:bCs/>
                <w:sz w:val="21"/>
                <w:szCs w:val="21"/>
              </w:rPr>
              <w:t>通过2021年1-5月统计，均达到目标。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color w:val="000000" w:themeColor="text1"/>
                <w:sz w:val="21"/>
                <w:szCs w:val="16"/>
              </w:rPr>
              <w:t>公司按照申请认证的标准要求，建立并形成了文件化的</w:t>
            </w:r>
            <w:r>
              <w:rPr>
                <w:rFonts w:hint="eastAsia" w:ascii="宋体" w:hAnsi="宋体"/>
                <w:color w:val="000000" w:themeColor="text1"/>
                <w:sz w:val="21"/>
                <w:szCs w:val="16"/>
              </w:rPr>
              <w:t>环境和职业健康安全</w:t>
            </w:r>
            <w:r>
              <w:rPr>
                <w:rFonts w:hint="eastAsia" w:ascii="宋体" w:hAnsi="宋体" w:cs="宋体"/>
                <w:color w:val="000000" w:themeColor="text1"/>
                <w:sz w:val="21"/>
                <w:szCs w:val="16"/>
              </w:rPr>
              <w:t>管理体系，体系文件对管理体系各过程进行了识别确定、明确了各要素间的相互关系及其管控要求。公司环境和职业健康安全体系文件于</w:t>
            </w:r>
            <w:r>
              <w:rPr>
                <w:rFonts w:hint="eastAsia" w:ascii="宋体" w:hAnsi="宋体"/>
                <w:sz w:val="21"/>
                <w:szCs w:val="21"/>
              </w:rPr>
              <w:t>2019年3月1日</w:t>
            </w:r>
            <w:r>
              <w:rPr>
                <w:rFonts w:hint="eastAsia" w:ascii="宋体" w:hAnsi="宋体" w:cs="宋体"/>
                <w:color w:val="000000" w:themeColor="text1"/>
                <w:sz w:val="21"/>
                <w:szCs w:val="16"/>
              </w:rPr>
              <w:t>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tabs>
                <w:tab w:val="left" w:pos="2552"/>
              </w:tabs>
              <w:spacing w:line="0" w:lineRule="atLeast"/>
              <w:rPr>
                <w:rFonts w:ascii="Helvetica" w:hAnsi="Helvetica" w:cs="Helvetica"/>
                <w:b/>
                <w:sz w:val="21"/>
                <w:szCs w:val="21"/>
                <w:shd w:val="clear" w:color="auto" w:fill="FFFFFF"/>
              </w:rPr>
            </w:pPr>
            <w:r>
              <w:rPr>
                <w:rFonts w:hint="eastAsia" w:ascii="Helvetica" w:hAnsi="Helvetica" w:cs="Helvetica"/>
                <w:b/>
                <w:sz w:val="21"/>
                <w:szCs w:val="21"/>
                <w:shd w:val="clear" w:color="auto" w:fill="FFFFFF"/>
              </w:rPr>
              <w:t>人力资源的简要说明</w:t>
            </w:r>
            <w:r>
              <w:rPr>
                <w:rFonts w:ascii="Helvetica" w:hAnsi="Helvetica" w:cs="Helvetica"/>
                <w:b/>
                <w:sz w:val="21"/>
                <w:szCs w:val="21"/>
                <w:shd w:val="clear" w:color="auto" w:fill="FFFFFF"/>
              </w:rPr>
              <w:t>.:</w:t>
            </w:r>
          </w:p>
          <w:p>
            <w:pPr>
              <w:tabs>
                <w:tab w:val="left" w:pos="2552"/>
              </w:tabs>
              <w:spacing w:line="0" w:lineRule="atLeast"/>
              <w:ind w:firstLine="420" w:firstLineChars="200"/>
              <w:rPr>
                <w:rFonts w:ascii="Helvetica" w:hAnsi="Helvetica" w:cs="Helvetica"/>
                <w:sz w:val="21"/>
                <w:szCs w:val="21"/>
                <w:shd w:val="clear" w:color="auto" w:fill="FFFFFF"/>
              </w:rPr>
            </w:pPr>
            <w:r>
              <w:rPr>
                <w:rFonts w:hint="eastAsia" w:ascii="Helvetica" w:hAnsi="Helvetica" w:cs="Helvetica"/>
                <w:sz w:val="21"/>
                <w:szCs w:val="21"/>
                <w:shd w:val="clear" w:color="auto" w:fill="FFFFFF"/>
              </w:rPr>
              <w:t>组织按管理体系需求配置了充足的人员、设施、监视和测量设备等资源，并建立维持了电线电缆销售，电力设备租赁及相关服务运行环境，可以维持管理体系的正常运行。</w:t>
            </w:r>
          </w:p>
          <w:p>
            <w:pPr>
              <w:tabs>
                <w:tab w:val="left" w:pos="2552"/>
              </w:tabs>
              <w:spacing w:line="0" w:lineRule="atLeast"/>
              <w:ind w:firstLine="420" w:firstLineChars="200"/>
              <w:rPr>
                <w:rFonts w:ascii="Helvetica" w:hAnsi="Helvetica" w:cs="Helvetica"/>
                <w:sz w:val="21"/>
                <w:szCs w:val="21"/>
                <w:shd w:val="clear" w:color="auto" w:fill="FFFFFF"/>
              </w:rPr>
            </w:pPr>
            <w:r>
              <w:rPr>
                <w:rFonts w:hint="eastAsia" w:ascii="Helvetica" w:hAnsi="Helvetica" w:cs="Helvetica"/>
                <w:sz w:val="21"/>
                <w:szCs w:val="21"/>
                <w:shd w:val="clear" w:color="auto" w:fill="FFFFFF"/>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tabs>
                <w:tab w:val="left" w:pos="2552"/>
              </w:tabs>
              <w:spacing w:line="0" w:lineRule="atLeast"/>
              <w:rPr>
                <w:rFonts w:ascii="Helvetica" w:hAnsi="Helvetica" w:cs="Helvetica"/>
                <w:b/>
                <w:sz w:val="21"/>
                <w:szCs w:val="21"/>
                <w:shd w:val="clear" w:color="auto" w:fill="FFFFFF"/>
              </w:rPr>
            </w:pPr>
            <w:r>
              <w:rPr>
                <w:rFonts w:hint="eastAsia" w:ascii="Helvetica" w:hAnsi="Helvetica" w:cs="Helvetica"/>
                <w:b/>
                <w:sz w:val="21"/>
                <w:szCs w:val="21"/>
                <w:shd w:val="clear" w:color="auto" w:fill="FFFFFF"/>
              </w:rPr>
              <w:t>设备设施（包括信息系统）、</w:t>
            </w:r>
          </w:p>
          <w:p>
            <w:pPr>
              <w:tabs>
                <w:tab w:val="left" w:pos="2552"/>
              </w:tabs>
              <w:spacing w:line="0" w:lineRule="atLeast"/>
              <w:ind w:firstLine="420" w:firstLineChars="200"/>
              <w:jc w:val="left"/>
              <w:rPr>
                <w:rFonts w:ascii="Helvetica" w:hAnsi="Helvetica" w:cs="Helvetica"/>
                <w:sz w:val="21"/>
                <w:szCs w:val="21"/>
                <w:shd w:val="clear" w:color="auto" w:fill="FFFFFF"/>
              </w:rPr>
            </w:pPr>
            <w:r>
              <w:rPr>
                <w:rFonts w:hint="eastAsia" w:ascii="Helvetica" w:hAnsi="Helvetica" w:cs="Helvetica"/>
                <w:sz w:val="21"/>
                <w:szCs w:val="21"/>
                <w:shd w:val="clear" w:color="auto" w:fill="FFFFFF"/>
              </w:rPr>
              <w:t>厂房面积1000平方米左右，车间、库房分开，办公场所面积300平方米。主要设备包括：数字可调电源、调温电烙铁、空压机、工作台等，可以满足生产需要。对设备按月方式进行点检维护保养，并实施。特种设备：无。公司未建立信息管理系统用于生产和服务。</w:t>
            </w:r>
          </w:p>
          <w:p>
            <w:pPr>
              <w:tabs>
                <w:tab w:val="left" w:pos="2552"/>
              </w:tabs>
              <w:spacing w:line="0" w:lineRule="atLeast"/>
              <w:ind w:firstLine="420" w:firstLineChars="200"/>
              <w:rPr>
                <w:rFonts w:ascii="Helvetica" w:hAnsi="Helvetica" w:cs="Helvetica"/>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rPr>
                <w:rFonts w:ascii="宋体" w:hAnsi="宋体"/>
                <w:b/>
                <w:color w:val="000000" w:themeColor="text1"/>
                <w:sz w:val="21"/>
                <w:szCs w:val="21"/>
              </w:rPr>
            </w:pPr>
            <w:r>
              <w:rPr>
                <w:rFonts w:hint="eastAsia" w:ascii="宋体" w:hAnsi="宋体" w:cs="宋体"/>
                <w:sz w:val="21"/>
                <w:szCs w:val="21"/>
              </w:rPr>
              <w:t>办公场所和内设备布置合理，通道畅通，照明设施齐全，均配备了消防设施等设施。办公室明亮，培训场所光线较充足。每月由综合部对工作环境进行定期检查。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监视和测量资源</w:t>
            </w:r>
          </w:p>
          <w:p>
            <w:pPr>
              <w:spacing w:line="240" w:lineRule="exact"/>
              <w:rPr>
                <w:rFonts w:ascii="宋体" w:hAnsi="宋体"/>
                <w:b/>
                <w:color w:val="000000" w:themeColor="text1"/>
                <w:sz w:val="18"/>
                <w:szCs w:val="18"/>
              </w:rPr>
            </w:pPr>
            <w:r>
              <w:rPr>
                <w:rFonts w:hint="eastAsia" w:ascii="宋体" w:hAnsi="宋体" w:cs="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p>
            <w:pPr>
              <w:spacing w:line="240" w:lineRule="exact"/>
              <w:rPr>
                <w:rFonts w:ascii="宋体" w:hAnsi="宋体"/>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p>
            <w:pPr>
              <w:spacing w:line="240" w:lineRule="exact"/>
              <w:rPr>
                <w:rFonts w:ascii="宋体" w:hAnsi="宋体"/>
                <w:sz w:val="21"/>
                <w:szCs w:val="21"/>
              </w:rPr>
            </w:pPr>
            <w:r>
              <w:rPr>
                <w:rFonts w:hint="eastAsia" w:ascii="宋体" w:hAnsi="宋体"/>
                <w:sz w:val="21"/>
                <w:szCs w:val="21"/>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6"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Cs/>
                <w:sz w:val="21"/>
                <w:szCs w:val="21"/>
              </w:rPr>
            </w:pPr>
            <w:r>
              <w:rPr>
                <w:rFonts w:hint="eastAsia" w:ascii="宋体" w:hAnsi="宋体"/>
                <w:b/>
                <w:sz w:val="21"/>
                <w:szCs w:val="21"/>
              </w:rPr>
              <w:t>内部沟通的情况：内部沟通方式：</w:t>
            </w:r>
            <w:r>
              <w:rPr>
                <w:rFonts w:hint="eastAsia" w:ascii="宋体" w:hAnsi="宋体"/>
                <w:bCs/>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宋体" w:hAnsi="宋体"/>
                <w:b/>
                <w:sz w:val="21"/>
                <w:szCs w:val="21"/>
              </w:rPr>
            </w:pPr>
            <w:r>
              <w:rPr>
                <w:rFonts w:hint="eastAsia" w:ascii="宋体" w:hAnsi="宋体"/>
                <w:b/>
                <w:sz w:val="21"/>
                <w:szCs w:val="21"/>
              </w:rPr>
              <w:t>内部沟通的效果：良好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楷体_GB2312" w:eastAsia="楷体_GB2312"/>
                <w:bCs/>
                <w:color w:val="000000" w:themeColor="text1"/>
                <w:sz w:val="20"/>
              </w:rPr>
              <w:t>采取顾客满意度调查方式了解顾客感受。</w:t>
            </w:r>
          </w:p>
          <w:p>
            <w:pPr>
              <w:spacing w:line="240" w:lineRule="exact"/>
              <w:rPr>
                <w:rFonts w:ascii="宋体" w:hAnsi="宋体"/>
                <w:b/>
                <w:sz w:val="21"/>
                <w:szCs w:val="21"/>
              </w:rPr>
            </w:pPr>
          </w:p>
          <w:p>
            <w:pPr>
              <w:spacing w:line="240" w:lineRule="exact"/>
              <w:rPr>
                <w:rFonts w:ascii="宋体" w:hAnsi="宋体"/>
                <w:bCs/>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楷体_GB2312" w:eastAsia="楷体_GB2312"/>
                <w:bCs/>
                <w:color w:val="000000" w:themeColor="text1"/>
                <w:sz w:val="20"/>
              </w:rPr>
              <w:t>对会议通知和规定等登记处理</w:t>
            </w:r>
          </w:p>
          <w:p>
            <w:pPr>
              <w:spacing w:line="240" w:lineRule="exact"/>
              <w:rPr>
                <w:rFonts w:ascii="宋体" w:hAnsi="宋体"/>
                <w:b/>
                <w:sz w:val="21"/>
                <w:szCs w:val="21"/>
              </w:rPr>
            </w:pPr>
          </w:p>
          <w:p>
            <w:pPr>
              <w:spacing w:line="240" w:lineRule="exact"/>
              <w:rPr>
                <w:rFonts w:ascii="宋体" w:hAnsi="宋体"/>
                <w:bCs/>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bCs/>
                <w:sz w:val="21"/>
                <w:szCs w:val="21"/>
              </w:rPr>
              <w:t>主要通过网络、交流及公开信、合同等方式进行，并达成一致性意见实施有效控制</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cs="Arial"/>
                <w:sz w:val="21"/>
                <w:szCs w:val="21"/>
              </w:rPr>
              <w:t>与安全健康管理有关的法律法规，包括《劳动合同法》、《工伤保险条例》、《职业病防治法》等关于员工权益、保险等内容</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楷体_GB2312" w:eastAsia="楷体_GB2312"/>
                <w:bCs/>
                <w:color w:val="000000" w:themeColor="text1"/>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cs="宋体"/>
                <w:color w:val="000000"/>
                <w:sz w:val="21"/>
                <w:szCs w:val="21"/>
              </w:rPr>
            </w:pPr>
            <w:r>
              <w:rPr>
                <w:rFonts w:hint="eastAsia" w:ascii="宋体" w:hAnsi="宋体" w:cs="宋体"/>
                <w:color w:val="000000"/>
                <w:sz w:val="21"/>
                <w:szCs w:val="21"/>
              </w:rPr>
              <w:t>/</w:t>
            </w:r>
          </w:p>
          <w:p>
            <w:pPr>
              <w:spacing w:line="240" w:lineRule="exact"/>
              <w:rPr>
                <w:rFonts w:ascii="宋体" w:hAnsi="宋体"/>
                <w:b/>
                <w:sz w:val="21"/>
                <w:szCs w:val="21"/>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r>
              <w:rPr>
                <w:rFonts w:hint="eastAsia" w:ascii="宋体" w:hAnsi="宋体"/>
                <w:b/>
                <w:sz w:val="21"/>
                <w:szCs w:val="21"/>
              </w:rPr>
              <w:t>/</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Theme="minorEastAsia" w:hAnsiTheme="minorEastAsia" w:eastAsiaTheme="minorEastAsia"/>
                <w:bCs/>
                <w:iCs/>
                <w:sz w:val="21"/>
                <w:szCs w:val="16"/>
              </w:rPr>
              <w:t>组织重要环境因素为固废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16"/>
              </w:rPr>
            </w:pPr>
            <w:r>
              <w:rPr>
                <w:rFonts w:hint="eastAsia" w:asciiTheme="minorEastAsia" w:hAnsiTheme="minorEastAsia" w:eastAsiaTheme="minorEastAsia"/>
                <w:bCs/>
                <w:iCs/>
                <w:sz w:val="21"/>
                <w:szCs w:val="16"/>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bCs/>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2021年1-5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spacing w:line="240" w:lineRule="exact"/>
              <w:ind w:left="-120" w:leftChars="-50" w:firstLine="420" w:firstLineChars="200"/>
              <w:rPr>
                <w:rFonts w:ascii="宋体" w:hAnsi="宋体"/>
                <w:b/>
                <w:sz w:val="21"/>
                <w:szCs w:val="21"/>
              </w:rPr>
            </w:pPr>
            <w:r>
              <w:rPr>
                <w:rFonts w:hint="eastAsia" w:ascii="宋体" w:hAnsi="宋体"/>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r>
              <w:rPr>
                <w:rFonts w:hint="eastAsia" w:ascii="宋体" w:hAnsi="宋体"/>
                <w:bCs/>
                <w:sz w:val="21"/>
                <w:szCs w:val="21"/>
              </w:rPr>
              <w:t>建立有《内部审核控制程序》，规定了内审频次一年一次，内审时间：202</w:t>
            </w:r>
            <w:r>
              <w:rPr>
                <w:rFonts w:hint="eastAsia" w:ascii="宋体" w:hAnsi="宋体"/>
                <w:bCs/>
                <w:sz w:val="21"/>
                <w:szCs w:val="21"/>
                <w:lang w:val="en-US" w:eastAsia="zh-CN"/>
              </w:rPr>
              <w:t>1</w:t>
            </w:r>
            <w:r>
              <w:rPr>
                <w:rFonts w:hint="eastAsia" w:ascii="宋体" w:hAnsi="宋体"/>
                <w:bCs/>
                <w:sz w:val="21"/>
                <w:szCs w:val="21"/>
              </w:rPr>
              <w:t>年4月8-9日，拟定了审核实施表，明确了内</w:t>
            </w:r>
            <w:r>
              <w:rPr>
                <w:rFonts w:hint="eastAsia" w:ascii="宋体" w:hAnsi="宋体" w:eastAsia="宋体" w:cs="Times New Roman"/>
                <w:bCs/>
                <w:sz w:val="21"/>
                <w:szCs w:val="21"/>
              </w:rPr>
              <w:t>审范围，内审人员经培训合格上岗，能力满足要求，未出现审核本部门情况，内审不符合项1项，涉及生产部ES8.2条款</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lang w:val="en-US" w:eastAsia="zh-CN"/>
              </w:rPr>
              <w:t>不符合描述“</w:t>
            </w:r>
            <w:r>
              <w:rPr>
                <w:rFonts w:hint="eastAsia" w:ascii="宋体" w:hAnsi="宋体" w:eastAsia="宋体" w:cs="Times New Roman"/>
                <w:bCs/>
                <w:sz w:val="21"/>
                <w:szCs w:val="21"/>
              </w:rPr>
              <w:t>审核中发现部分消防设施被物品遮挡</w:t>
            </w:r>
            <w:r>
              <w:rPr>
                <w:rFonts w:hint="eastAsia" w:ascii="宋体" w:hAnsi="宋体" w:eastAsia="宋体" w:cs="Times New Roman"/>
                <w:bCs/>
                <w:sz w:val="21"/>
                <w:szCs w:val="21"/>
                <w:lang w:eastAsia="zh-CN"/>
              </w:rPr>
              <w:t>”</w:t>
            </w:r>
            <w:r>
              <w:rPr>
                <w:rFonts w:hint="eastAsia" w:ascii="宋体" w:hAnsi="宋体" w:eastAsia="宋体" w:cs="Times New Roman"/>
                <w:bCs/>
                <w:sz w:val="21"/>
                <w:szCs w:val="21"/>
              </w:rPr>
              <w:t>，针对该不符合项，已</w:t>
            </w:r>
            <w:r>
              <w:rPr>
                <w:rFonts w:hint="eastAsia" w:ascii="宋体" w:hAnsi="宋体"/>
                <w:bCs/>
                <w:sz w:val="21"/>
                <w:szCs w:val="21"/>
              </w:rPr>
              <w:t>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b/>
                <w:sz w:val="21"/>
                <w:szCs w:val="21"/>
              </w:rPr>
              <w:t>管</w:t>
            </w:r>
            <w:r>
              <w:rPr>
                <w:rFonts w:hint="eastAsia" w:ascii="宋体" w:hAnsi="宋体"/>
                <w:bCs/>
                <w:sz w:val="21"/>
                <w:szCs w:val="21"/>
              </w:rPr>
              <w:t>理评审频次为一年一次、本次管理评审于2021年5月20日由总经理主持完成、提供主要输入材料有各部门总结，输入信息基本充分和满足要求。输出见“管理评审报告”, 做出了管理体系基本适宜、充分和有效的评审结论。管理评审的输出不具体，需要改善</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ascii="宋体" w:hAnsi="宋体"/>
                <w:b/>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ascii="宋体" w:hAnsi="宋体"/>
                <w:b/>
                <w:sz w:val="21"/>
                <w:szCs w:val="21"/>
              </w:rPr>
              <w:t>不适用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4"/>
              </w:numPr>
              <w:spacing w:line="240" w:lineRule="exact"/>
              <w:rPr>
                <w:rFonts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Cs/>
                <w:sz w:val="21"/>
                <w:szCs w:val="21"/>
              </w:rPr>
            </w:pPr>
            <w:r>
              <w:rPr>
                <w:rFonts w:hint="eastAsia" w:ascii="宋体" w:hAnsi="宋体"/>
                <w:bCs/>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创新情况</w:t>
            </w:r>
          </w:p>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rPr>
                <w:rFonts w:ascii="宋体" w:hAnsi="宋体"/>
                <w:b/>
                <w:sz w:val="21"/>
                <w:szCs w:val="21"/>
              </w:rPr>
            </w:pPr>
            <w:r>
              <w:rPr>
                <w:rFonts w:hint="eastAsia" w:ascii="宋体" w:hAnsi="宋体"/>
                <w:b/>
                <w:sz w:val="21"/>
                <w:szCs w:val="21"/>
              </w:rPr>
              <w:t>上次审核无不符合</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sym w:font="Wingdings 2" w:char="0052"/>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color w:val="auto"/>
          <w:szCs w:val="21"/>
        </w:rPr>
      </w:pPr>
      <w:r>
        <w:rPr>
          <w:rFonts w:hint="eastAsia"/>
          <w:b/>
          <w:spacing w:val="-10"/>
          <w:szCs w:val="21"/>
        </w:rPr>
        <w:t>□未</w:t>
      </w:r>
      <w:r>
        <w:rPr>
          <w:rFonts w:hint="eastAsia" w:ascii="宋体" w:hAnsi="宋体"/>
          <w:b/>
          <w:szCs w:val="21"/>
        </w:rPr>
        <w:t>达到审核目的，未达到目的的原因</w:t>
      </w:r>
      <w:bookmarkStart w:id="22" w:name="_GoBack"/>
      <w:r>
        <w:rPr>
          <w:rFonts w:hint="eastAsia" w:ascii="宋体" w:hAnsi="宋体"/>
          <w:b/>
          <w:color w:val="auto"/>
          <w:szCs w:val="21"/>
        </w:rPr>
        <w:t>是：</w:t>
      </w:r>
    </w:p>
    <w:p>
      <w:pPr>
        <w:tabs>
          <w:tab w:val="left" w:pos="645"/>
        </w:tabs>
        <w:spacing w:beforeLines="50" w:afterLines="50" w:line="360" w:lineRule="exact"/>
        <w:rPr>
          <w:b/>
          <w:color w:val="auto"/>
          <w:sz w:val="16"/>
          <w:szCs w:val="16"/>
        </w:rPr>
      </w:pPr>
      <w:r>
        <w:rPr>
          <w:rFonts w:hint="eastAsia"/>
          <w:b/>
          <w:color w:val="auto"/>
          <w:sz w:val="26"/>
          <w:szCs w:val="26"/>
        </w:rPr>
        <w:t>八、本次审核不符合项</w:t>
      </w:r>
    </w:p>
    <w:p>
      <w:pPr>
        <w:spacing w:line="400" w:lineRule="exact"/>
        <w:ind w:left="420" w:leftChars="175" w:firstLine="342" w:firstLineChars="142"/>
        <w:rPr>
          <w:rFonts w:ascii="宋体" w:hAnsi="宋体"/>
          <w:b/>
          <w:szCs w:val="21"/>
        </w:rPr>
      </w:pPr>
      <w:r>
        <w:rPr>
          <w:rFonts w:hint="eastAsia" w:ascii="宋体" w:hAnsi="宋体"/>
          <w:b/>
          <w:color w:val="auto"/>
          <w:szCs w:val="21"/>
        </w:rPr>
        <w:t>本次审核共开具不符合项报告1项；其中</w:t>
      </w:r>
      <w:r>
        <w:rPr>
          <w:rFonts w:ascii="宋体" w:hAnsi="宋体"/>
          <w:b/>
          <w:color w:val="auto"/>
          <w:szCs w:val="21"/>
        </w:rPr>
        <w:pict>
          <v:line id="直接连接符 1" o:spid="_x0000_s1030"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ascii="宋体" w:hAnsi="宋体"/>
          <w:b/>
          <w:color w:val="auto"/>
          <w:szCs w:val="21"/>
        </w:rPr>
        <w:t>严重不符合0项，一般不符合1项，观察项0项，分布在</w:t>
      </w:r>
      <w:r>
        <w:rPr>
          <w:rFonts w:hint="eastAsia" w:ascii="宋体" w:hAnsi="宋体"/>
          <w:b/>
          <w:color w:val="auto"/>
          <w:szCs w:val="21"/>
          <w:lang w:val="en-US" w:eastAsia="zh-CN"/>
        </w:rPr>
        <w:t>行政部</w:t>
      </w:r>
      <w:r>
        <w:rPr>
          <w:rFonts w:hint="eastAsia" w:ascii="宋体" w:hAnsi="宋体"/>
          <w:b/>
          <w:color w:val="auto"/>
          <w:szCs w:val="21"/>
        </w:rPr>
        <w:t>部门</w:t>
      </w:r>
      <w:r>
        <w:rPr>
          <w:rFonts w:hint="eastAsia" w:ascii="宋体" w:hAnsi="宋体"/>
          <w:b/>
          <w:color w:val="auto"/>
          <w:szCs w:val="21"/>
          <w:lang w:val="en-US" w:eastAsia="zh-CN"/>
        </w:rPr>
        <w:t>9.1.2</w:t>
      </w:r>
      <w:r>
        <w:rPr>
          <w:rFonts w:hint="eastAsia" w:ascii="宋体" w:hAnsi="宋体"/>
          <w:b/>
          <w:color w:val="auto"/>
          <w:szCs w:val="21"/>
        </w:rPr>
        <w:t>条款，见不符合项分布表。（</w:t>
      </w:r>
      <w:r>
        <w:rPr>
          <w:rFonts w:ascii="宋体" w:hAnsi="宋体"/>
          <w:b/>
          <w:color w:val="auto"/>
          <w:szCs w:val="21"/>
        </w:rPr>
        <w:t>Q/J/</w:t>
      </w:r>
      <w:bookmarkEnd w:id="22"/>
      <w:r>
        <w:rPr>
          <w:rFonts w:ascii="宋体" w:hAnsi="宋体"/>
          <w:b/>
          <w:szCs w:val="21"/>
        </w:rPr>
        <w:t>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9"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lang w:val="en-US" w:eastAsia="zh-CN"/>
        </w:rPr>
        <w:t xml:space="preserve"> </w:t>
      </w:r>
      <w:r>
        <w:rPr>
          <w:rFonts w:hint="eastAsia"/>
          <w:b/>
          <w:sz w:val="21"/>
          <w:u w:val="single"/>
          <w:lang w:val="en-US" w:eastAsia="zh-CN"/>
        </w:rPr>
        <w:t xml:space="preserve"> 60 </w:t>
      </w:r>
      <w:r>
        <w:rPr>
          <w:rFonts w:hint="eastAsia"/>
          <w:b/>
          <w:sz w:val="21"/>
          <w:lang w:val="en-US" w:eastAsia="zh-CN"/>
        </w:rPr>
        <w:t xml:space="preserve"> </w:t>
      </w:r>
      <w:r>
        <w:rPr>
          <w:rFonts w:hint="eastAsia"/>
          <w:b/>
          <w:sz w:val="21"/>
        </w:rPr>
        <w:t>天针对不符合原因制定并实施纠正措施。验证方式见不符合项报告。</w:t>
      </w: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snapToGrid w:val="0"/>
        <w:spacing w:line="360" w:lineRule="exact"/>
        <w:rPr>
          <w:b/>
          <w:bCs/>
          <w:sz w:val="21"/>
          <w:szCs w:val="28"/>
        </w:rPr>
      </w:pPr>
    </w:p>
    <w:p>
      <w:pPr>
        <w:snapToGrid w:val="0"/>
        <w:spacing w:line="360" w:lineRule="exact"/>
        <w:rPr>
          <w:b/>
          <w:bCs/>
          <w:sz w:val="21"/>
          <w:szCs w:val="28"/>
        </w:rPr>
      </w:pPr>
    </w:p>
    <w:p>
      <w:pPr>
        <w:tabs>
          <w:tab w:val="left" w:pos="645"/>
        </w:tabs>
        <w:spacing w:afterLines="50" w:line="360" w:lineRule="exact"/>
        <w:rPr>
          <w:b/>
          <w:sz w:val="16"/>
          <w:szCs w:val="16"/>
        </w:rPr>
      </w:pPr>
      <w:r>
        <w:rPr>
          <w:rFonts w:hint="eastAsia"/>
          <w:b/>
          <w:sz w:val="26"/>
          <w:szCs w:val="26"/>
        </w:rPr>
        <w:drawing>
          <wp:anchor distT="0" distB="0" distL="114300" distR="114300" simplePos="0" relativeHeight="251663360" behindDoc="0" locked="0" layoutInCell="1" allowOverlap="1">
            <wp:simplePos x="0" y="0"/>
            <wp:positionH relativeFrom="column">
              <wp:posOffset>1304290</wp:posOffset>
            </wp:positionH>
            <wp:positionV relativeFrom="paragraph">
              <wp:posOffset>243840</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2425" cy="304800"/>
                    </a:xfrm>
                    <a:prstGeom prst="rect">
                      <a:avLst/>
                    </a:prstGeom>
                    <a:noFill/>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drawing>
          <wp:anchor distT="0" distB="0" distL="114300" distR="114300" simplePos="0" relativeHeight="251664384" behindDoc="0" locked="0" layoutInCell="1" allowOverlap="1">
            <wp:simplePos x="0" y="0"/>
            <wp:positionH relativeFrom="column">
              <wp:posOffset>1696085</wp:posOffset>
            </wp:positionH>
            <wp:positionV relativeFrom="paragraph">
              <wp:posOffset>13335</wp:posOffset>
            </wp:positionV>
            <wp:extent cx="590550" cy="427355"/>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590550" cy="427355"/>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b/>
          <w:sz w:val="21"/>
        </w:rPr>
      </w:pPr>
      <w:r>
        <w:rPr>
          <w:rFonts w:hint="eastAsia"/>
          <w:b/>
          <w:sz w:val="21"/>
        </w:rPr>
        <w:t>日期：2021年6月15日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highlight w:val="none"/>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w:t>
      </w:r>
      <w:r>
        <w:rPr>
          <w:rFonts w:hint="eastAsia"/>
          <w:b/>
          <w:bCs/>
          <w:color w:val="auto"/>
          <w:sz w:val="21"/>
          <w:szCs w:val="21"/>
          <w:highlight w:val="none"/>
        </w:rPr>
        <w:t>发现的</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w:t>
      </w:r>
      <w:r>
        <w:rPr>
          <w:b/>
          <w:color w:val="auto"/>
          <w:sz w:val="21"/>
          <w:szCs w:val="21"/>
          <w:highlight w:val="none"/>
        </w:rPr>
        <w:t>QMS (</w:t>
      </w:r>
      <w:r>
        <w:rPr>
          <w:rFonts w:hint="eastAsia"/>
          <w:b/>
          <w:color w:val="auto"/>
          <w:sz w:val="21"/>
          <w:szCs w:val="21"/>
          <w:highlight w:val="none"/>
        </w:rPr>
        <w:t xml:space="preserve">    </w:t>
      </w:r>
      <w:r>
        <w:rPr>
          <w:b/>
          <w:color w:val="auto"/>
          <w:sz w:val="21"/>
          <w:szCs w:val="21"/>
          <w:highlight w:val="none"/>
        </w:rPr>
        <w:t>)</w:t>
      </w:r>
      <w:r>
        <w:rPr>
          <w:rFonts w:hint="eastAsia"/>
          <w:b/>
          <w:color w:val="auto"/>
          <w:sz w:val="21"/>
          <w:szCs w:val="21"/>
          <w:highlight w:val="none"/>
        </w:rPr>
        <w:t>个一般不符合，</w:t>
      </w:r>
      <w:r>
        <w:rPr>
          <w:b/>
          <w:color w:val="auto"/>
          <w:sz w:val="21"/>
          <w:szCs w:val="21"/>
          <w:highlight w:val="none"/>
        </w:rPr>
        <w:t>(</w:t>
      </w:r>
      <w:r>
        <w:rPr>
          <w:rFonts w:hint="eastAsia"/>
          <w:b/>
          <w:color w:val="auto"/>
          <w:sz w:val="21"/>
          <w:szCs w:val="21"/>
          <w:highlight w:val="none"/>
        </w:rPr>
        <w:t xml:space="preserve"> 0  </w:t>
      </w:r>
      <w:r>
        <w:rPr>
          <w:b/>
          <w:color w:val="auto"/>
          <w:sz w:val="21"/>
          <w:szCs w:val="21"/>
          <w:highlight w:val="none"/>
        </w:rPr>
        <w:t>)</w:t>
      </w:r>
      <w:r>
        <w:rPr>
          <w:rFonts w:hint="eastAsia"/>
          <w:b/>
          <w:color w:val="auto"/>
          <w:sz w:val="21"/>
          <w:szCs w:val="21"/>
          <w:highlight w:val="none"/>
        </w:rPr>
        <w:t>个严重不符合，</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w:t>
      </w:r>
      <w:r>
        <w:rPr>
          <w:rFonts w:hint="eastAsia"/>
          <w:b/>
          <w:color w:val="auto"/>
          <w:sz w:val="21"/>
          <w:szCs w:val="21"/>
          <w:highlight w:val="none"/>
        </w:rPr>
        <w:t>验证</w:t>
      </w:r>
      <w:r>
        <w:rPr>
          <w:rFonts w:hint="eastAsia"/>
          <w:b/>
          <w:sz w:val="21"/>
          <w:szCs w:val="21"/>
          <w:highlight w:val="none"/>
        </w:rPr>
        <w:t>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sym w:font="Wingdings 2" w:char="0052"/>
      </w:r>
      <w:r>
        <w:rPr>
          <w:b/>
          <w:sz w:val="21"/>
          <w:szCs w:val="21"/>
          <w:highlight w:val="none"/>
        </w:rPr>
        <w:t>EMS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 xml:space="preserve"> )</w:t>
      </w:r>
      <w:r>
        <w:rPr>
          <w:rFonts w:hint="eastAsia"/>
          <w:b/>
          <w:sz w:val="21"/>
          <w:szCs w:val="21"/>
          <w:highlight w:val="none"/>
        </w:rPr>
        <w:t>个严重不符合，</w:t>
      </w:r>
      <w:r>
        <w:rPr>
          <w:rFonts w:hint="eastAsia"/>
          <w:b/>
          <w:sz w:val="21"/>
          <w:szCs w:val="21"/>
          <w:highlight w:val="none"/>
        </w:rPr>
        <w:sym w:font="Wingdings 2" w:char="0052"/>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sym w:font="Wingdings 2" w:char="0052"/>
      </w:r>
      <w:r>
        <w:rPr>
          <w:b/>
          <w:sz w:val="21"/>
          <w:szCs w:val="21"/>
          <w:highlight w:val="none"/>
        </w:rPr>
        <w:t xml:space="preserve">OHSMS ( </w:t>
      </w:r>
      <w:r>
        <w:rPr>
          <w:rFonts w:hint="eastAsia"/>
          <w:b/>
          <w:sz w:val="21"/>
          <w:szCs w:val="21"/>
          <w:highlight w:val="none"/>
          <w:lang w:val="en-US" w:eastAsia="zh-CN"/>
        </w:rPr>
        <w:t>1</w:t>
      </w:r>
      <w:r>
        <w:rPr>
          <w:b/>
          <w:sz w:val="21"/>
          <w:szCs w:val="21"/>
          <w:highlight w:val="none"/>
        </w:rPr>
        <w:t xml:space="preserve">   )</w:t>
      </w:r>
      <w:r>
        <w:rPr>
          <w:rFonts w:hint="eastAsia"/>
          <w:b/>
          <w:sz w:val="21"/>
          <w:szCs w:val="21"/>
          <w:highlight w:val="none"/>
        </w:rPr>
        <w:t>个一般不符合，</w:t>
      </w:r>
      <w:r>
        <w:rPr>
          <w:b/>
          <w:sz w:val="21"/>
          <w:szCs w:val="21"/>
          <w:highlight w:val="none"/>
        </w:rPr>
        <w:t xml:space="preserve">(  </w:t>
      </w:r>
      <w:r>
        <w:rPr>
          <w:rFonts w:hint="eastAsia"/>
          <w:b/>
          <w:sz w:val="21"/>
          <w:szCs w:val="21"/>
          <w:highlight w:val="none"/>
          <w:lang w:val="en-US" w:eastAsia="zh-CN"/>
        </w:rPr>
        <w:t>0</w:t>
      </w:r>
      <w:r>
        <w:rPr>
          <w:b/>
          <w:sz w:val="21"/>
          <w:szCs w:val="21"/>
          <w:highlight w:val="none"/>
        </w:rPr>
        <w:t xml:space="preserve">  )</w:t>
      </w:r>
      <w:r>
        <w:rPr>
          <w:rFonts w:hint="eastAsia"/>
          <w:b/>
          <w:sz w:val="21"/>
          <w:szCs w:val="21"/>
          <w:highlight w:val="none"/>
        </w:rPr>
        <w:t>个严重不符合，</w:t>
      </w:r>
      <w:r>
        <w:rPr>
          <w:rFonts w:hint="eastAsia"/>
          <w:b/>
          <w:sz w:val="21"/>
          <w:szCs w:val="21"/>
          <w:highlight w:val="none"/>
        </w:rPr>
        <w:sym w:font="Wingdings 2" w:char="0052"/>
      </w:r>
      <w:r>
        <w:rPr>
          <w:rFonts w:hint="eastAsia"/>
          <w:b/>
          <w:sz w:val="21"/>
          <w:szCs w:val="21"/>
          <w:highlight w:val="none"/>
        </w:rPr>
        <w:t>验证合格□仍有问题</w:t>
      </w:r>
      <w:r>
        <w:rPr>
          <w:rFonts w:hint="eastAsia"/>
          <w:b/>
          <w:bCs/>
          <w:sz w:val="21"/>
          <w:szCs w:val="21"/>
          <w:highlight w:val="none"/>
        </w:rPr>
        <w:t>审</w:t>
      </w:r>
    </w:p>
    <w:p>
      <w:pPr>
        <w:spacing w:beforeLines="50" w:line="400" w:lineRule="exact"/>
        <w:ind w:firstLine="632" w:firstLineChars="300"/>
        <w:rPr>
          <w:b/>
          <w:sz w:val="21"/>
          <w:szCs w:val="21"/>
          <w:highlight w:val="none"/>
          <w:u w:val="single"/>
        </w:rPr>
      </w:pPr>
      <w:r>
        <w:rPr>
          <w:rFonts w:hint="eastAsia"/>
          <w:b/>
          <w:sz w:val="21"/>
          <w:szCs w:val="21"/>
          <w:highlight w:val="none"/>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2168" w:firstLineChars="900"/>
        <w:rPr>
          <w:b/>
          <w:sz w:val="21"/>
          <w:szCs w:val="21"/>
        </w:rPr>
      </w:pPr>
      <w:r>
        <w:rPr>
          <w:rFonts w:hint="eastAsia" w:ascii="宋体" w:hAnsi="宋体"/>
          <w:b/>
          <w:szCs w:val="21"/>
        </w:rPr>
        <w:t xml:space="preserve">☑ </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3" w:firstLineChars="343"/>
        <w:rPr>
          <w:b/>
          <w:sz w:val="21"/>
          <w:szCs w:val="21"/>
          <w:u w:val="single"/>
        </w:rPr>
      </w:pPr>
      <w:r>
        <w:rPr>
          <w:rFonts w:hint="eastAsia"/>
          <w:b/>
          <w:sz w:val="21"/>
          <w:szCs w:val="21"/>
        </w:rPr>
        <w:drawing>
          <wp:anchor distT="0" distB="0" distL="114300" distR="114300" simplePos="0" relativeHeight="251662336" behindDoc="0" locked="0" layoutInCell="1" allowOverlap="1">
            <wp:simplePos x="0" y="0"/>
            <wp:positionH relativeFrom="column">
              <wp:posOffset>1203960</wp:posOffset>
            </wp:positionH>
            <wp:positionV relativeFrom="paragraph">
              <wp:posOffset>73660</wp:posOffset>
            </wp:positionV>
            <wp:extent cx="352425" cy="304800"/>
            <wp:effectExtent l="19050" t="0" r="9525"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2425" cy="304800"/>
                    </a:xfrm>
                    <a:prstGeom prst="rect">
                      <a:avLst/>
                    </a:prstGeom>
                    <a:noFill/>
                  </pic:spPr>
                </pic:pic>
              </a:graphicData>
            </a:graphic>
          </wp:anchor>
        </w:drawing>
      </w:r>
      <w:r>
        <w:rPr>
          <w:rFonts w:hint="eastAsia"/>
          <w:b/>
          <w:sz w:val="21"/>
          <w:szCs w:val="21"/>
        </w:rPr>
        <w:t>组长签字：                      日期：  2021年 6月  17 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Pr>
        <w:tabs>
          <w:tab w:val="left" w:pos="645"/>
        </w:tabs>
        <w:spacing w:afterLines="50" w:line="360" w:lineRule="exact"/>
      </w:pPr>
    </w:p>
    <w:p>
      <w:pPr>
        <w:tabs>
          <w:tab w:val="left" w:pos="645"/>
        </w:tabs>
        <w:spacing w:afterLines="50" w:line="360" w:lineRule="exact"/>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6192;mso-width-relative:page;mso-height-relative:page;" filled="f" o:preferrelative="t" stroked="f" coordsize="21600,21600" wrapcoords="7535 0 5023 480 -502 5760 -502 10080 0 15360 502 17280 7535 20640 11051 20640 13563 20640 14567 20640 20093 15360 21098 6240 16074 1440 13060 0 7535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EDD84"/>
    <w:multiLevelType w:val="singleLevel"/>
    <w:tmpl w:val="8F5EDD84"/>
    <w:lvl w:ilvl="0" w:tentative="0">
      <w:start w:val="2"/>
      <w:numFmt w:val="decimal"/>
      <w:lvlText w:val="%1."/>
      <w:lvlJc w:val="left"/>
      <w:pPr>
        <w:tabs>
          <w:tab w:val="left" w:pos="312"/>
        </w:tabs>
      </w:pPr>
    </w:lvl>
  </w:abstractNum>
  <w:abstractNum w:abstractNumId="1">
    <w:nsid w:val="B3704A97"/>
    <w:multiLevelType w:val="singleLevel"/>
    <w:tmpl w:val="B3704A97"/>
    <w:lvl w:ilvl="0" w:tentative="0">
      <w:start w:val="2"/>
      <w:numFmt w:val="decimal"/>
      <w:suff w:val="nothing"/>
      <w:lvlText w:val="%1、"/>
      <w:lvlJc w:val="left"/>
    </w:lvl>
  </w:abstractNum>
  <w:abstractNum w:abstractNumId="2">
    <w:nsid w:val="FFE6502E"/>
    <w:multiLevelType w:val="singleLevel"/>
    <w:tmpl w:val="FFE6502E"/>
    <w:lvl w:ilvl="0" w:tentative="0">
      <w:start w:val="8"/>
      <w:numFmt w:val="decimal"/>
      <w:suff w:val="space"/>
      <w:lvlText w:val="%1."/>
      <w:lvlJc w:val="left"/>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0E0F4F35"/>
    <w:multiLevelType w:val="singleLevel"/>
    <w:tmpl w:val="0E0F4F35"/>
    <w:lvl w:ilvl="0" w:tentative="0">
      <w:start w:val="3"/>
      <w:numFmt w:val="decimal"/>
      <w:lvlText w:val="%1."/>
      <w:lvlJc w:val="left"/>
      <w:pPr>
        <w:tabs>
          <w:tab w:val="left" w:pos="312"/>
        </w:tabs>
      </w:pPr>
    </w:lvl>
  </w:abstractNum>
  <w:abstractNum w:abstractNumId="5">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4C7F"/>
    <w:rsid w:val="00147F13"/>
    <w:rsid w:val="004744B0"/>
    <w:rsid w:val="0054381D"/>
    <w:rsid w:val="006E3E86"/>
    <w:rsid w:val="00917A99"/>
    <w:rsid w:val="00924C7F"/>
    <w:rsid w:val="00BC1BE1"/>
    <w:rsid w:val="00DC4086"/>
    <w:rsid w:val="00EC4177"/>
    <w:rsid w:val="225E7C3B"/>
    <w:rsid w:val="689D465B"/>
    <w:rsid w:val="753C24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unhideWhenUsed/>
    <w:qFormat/>
    <w:uiPriority w:val="99"/>
    <w:rPr>
      <w:color w:val="000000"/>
      <w:kern w:val="0"/>
      <w:szCs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2"/>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1172</Words>
  <Characters>6684</Characters>
  <Lines>55</Lines>
  <Paragraphs>15</Paragraphs>
  <TotalTime>3</TotalTime>
  <ScaleCrop>false</ScaleCrop>
  <LinksUpToDate>false</LinksUpToDate>
  <CharactersWithSpaces>7841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2021-06-15T05:44:47Z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