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重庆臻远电气有限公司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重庆市北碚区悦复大道金科两江健康科技城E17工业用地8-2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吉小玉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023-62916301</w:t>
            </w:r>
            <w:bookmarkEnd w:id="2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张秀宏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合同编号"/>
            <w:r>
              <w:rPr>
                <w:sz w:val="20"/>
              </w:rPr>
              <w:t>0402-2019-EO-2021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5" w:name="审核类型"/>
            <w:r>
              <w:rPr>
                <w:rFonts w:hint="eastAsia" w:ascii="宋体" w:hAnsi="宋体"/>
                <w:b/>
                <w:bCs/>
                <w:sz w:val="20"/>
              </w:rPr>
              <w:t>O:监查2,E:监查2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6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6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7" w:name="审核范围"/>
            <w:r>
              <w:rPr>
                <w:sz w:val="20"/>
              </w:rPr>
              <w:t>O：电力监测设备、仪器仪表的销售所涉及的职业健康安全管理活动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E：电力监测设备、仪器仪表的销售涉及的环境管理活动</w:t>
            </w:r>
            <w:bookmarkEnd w:id="7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8" w:name="专业代码"/>
            <w:r>
              <w:rPr>
                <w:sz w:val="20"/>
              </w:rPr>
              <w:t>O：29.10.07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E：29.10.07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3" w:name="审核开始日"/>
            <w:r>
              <w:rPr>
                <w:rFonts w:hint="eastAsia"/>
                <w:b/>
                <w:sz w:val="20"/>
              </w:rPr>
              <w:t>2021年06月15日 上午</w:t>
            </w:r>
            <w:bookmarkEnd w:id="13"/>
            <w:r>
              <w:rPr>
                <w:rFonts w:hint="eastAsia"/>
                <w:b/>
                <w:sz w:val="20"/>
              </w:rPr>
              <w:t>至</w:t>
            </w:r>
            <w:bookmarkStart w:id="14" w:name="审核结束日"/>
            <w:r>
              <w:rPr>
                <w:rFonts w:hint="eastAsia"/>
                <w:b/>
                <w:sz w:val="20"/>
              </w:rPr>
              <w:t>2021年06月15日 下午</w:t>
            </w:r>
            <w:bookmarkEnd w:id="14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5" w:name="审核天数"/>
            <w:r>
              <w:rPr>
                <w:rFonts w:hint="eastAsia"/>
                <w:b/>
                <w:sz w:val="20"/>
              </w:rPr>
              <w:t>1.0</w:t>
            </w:r>
            <w:bookmarkEnd w:id="15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2021-N1EMS-3093566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2020-N1EMS-1267598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2021.6.11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244"/>
        <w:gridCol w:w="856"/>
        <w:gridCol w:w="6347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68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44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6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347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68" w:type="dxa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6月15日</w:t>
            </w:r>
          </w:p>
        </w:tc>
        <w:tc>
          <w:tcPr>
            <w:tcW w:w="1244" w:type="dxa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7203" w:type="dxa"/>
            <w:gridSpan w:val="2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9" w:hRule="atLeast"/>
          <w:jc w:val="center"/>
        </w:trPr>
        <w:tc>
          <w:tcPr>
            <w:tcW w:w="868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4" w:type="dxa"/>
            <w:vMerge w:val="restart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8:00-16:00（午餐时间12：00-13：00）</w:t>
            </w:r>
          </w:p>
        </w:tc>
        <w:tc>
          <w:tcPr>
            <w:tcW w:w="856" w:type="dxa"/>
            <w:vMerge w:val="restart"/>
            <w:noWrap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347" w:type="dxa"/>
            <w:noWrap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；6.1.4措施的策划；6.2目标及其实现的策划；7.1资源；7.4沟通；9.1.1监测、分析和评估总则；9.2内部审核；9.3管理评审；10.1改进 总则；10.3持续改进。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9" w:hRule="atLeast"/>
          <w:jc w:val="center"/>
        </w:trPr>
        <w:tc>
          <w:tcPr>
            <w:tcW w:w="868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  <w:vMerge w:val="continue"/>
            <w:noWrap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347" w:type="dxa"/>
            <w:noWrap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9.2内部审核；9.3管理评审；10.1事件、不符合和纠正措施；10.2持续改进。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资质的确认、管理体系变化情况、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环境、安全</w:t>
            </w:r>
            <w:r>
              <w:rPr>
                <w:rFonts w:hint="eastAsia" w:ascii="宋体" w:hAnsi="宋体" w:cs="新宋体"/>
                <w:sz w:val="18"/>
                <w:szCs w:val="18"/>
              </w:rPr>
              <w:t>监督抽查情况、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相关方</w:t>
            </w:r>
            <w:r>
              <w:rPr>
                <w:rFonts w:hint="eastAsia" w:ascii="宋体" w:hAnsi="宋体" w:cs="新宋体"/>
                <w:sz w:val="18"/>
                <w:szCs w:val="18"/>
              </w:rPr>
              <w:t>对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服务过程环境安全事件</w:t>
            </w:r>
            <w:bookmarkStart w:id="16" w:name="_GoBack"/>
            <w:bookmarkEnd w:id="16"/>
            <w:r>
              <w:rPr>
                <w:rFonts w:hint="eastAsia" w:ascii="宋体" w:hAnsi="宋体" w:cs="新宋体"/>
                <w:sz w:val="18"/>
                <w:szCs w:val="18"/>
              </w:rPr>
              <w:t>的投诉、认证证书及标识使用情况、上次审核不符合项的验证。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68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  <w:noWrap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行政部/财务部</w:t>
            </w:r>
          </w:p>
        </w:tc>
        <w:tc>
          <w:tcPr>
            <w:tcW w:w="6347" w:type="dxa"/>
            <w:noWrap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环境因素；6.1.3合规义务；6.2目标及其达成的策划；7.2能力；8.1运行策划和控制；8.2应急准备和响应；9.1监视、测量、分析与评估；9.1.2符合性评估；10.2不符合和纠正措施；10.3持续改进/EMS运行控制相关财务支出证据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868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  <w:vMerge w:val="restart"/>
            <w:noWrap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供销部</w:t>
            </w:r>
          </w:p>
        </w:tc>
        <w:tc>
          <w:tcPr>
            <w:tcW w:w="6347" w:type="dxa"/>
            <w:noWrap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EMS-2015: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5.3组织的角色、职责和权限；6.2目标及其实现的策划；6.1.2环境因素；7.4沟通；8.1运行策划和控制；8.2应急准备和响应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868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  <w:vMerge w:val="continue"/>
            <w:noWrap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  <w:tc>
          <w:tcPr>
            <w:tcW w:w="6347" w:type="dxa"/>
            <w:noWrap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 45001：2018：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68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6" w:type="dxa"/>
            <w:noWrap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技术部/质量部</w:t>
            </w:r>
          </w:p>
        </w:tc>
        <w:tc>
          <w:tcPr>
            <w:tcW w:w="6347" w:type="dxa"/>
            <w:noWrap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: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 45001：2018：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280" w:lineRule="exact"/>
              <w:rPr>
                <w:sz w:val="20"/>
                <w:szCs w:val="22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68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44" w:type="dxa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16:00-17:00</w:t>
            </w:r>
          </w:p>
        </w:tc>
        <w:tc>
          <w:tcPr>
            <w:tcW w:w="7203" w:type="dxa"/>
            <w:gridSpan w:val="2"/>
            <w:noWrap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文平、冉景洲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0AE5"/>
    <w:rsid w:val="00102766"/>
    <w:rsid w:val="006974DF"/>
    <w:rsid w:val="007C3E81"/>
    <w:rsid w:val="008A0AE5"/>
    <w:rsid w:val="1A030F99"/>
    <w:rsid w:val="275C10E1"/>
    <w:rsid w:val="2A5468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398</Words>
  <Characters>2274</Characters>
  <Lines>18</Lines>
  <Paragraphs>5</Paragraphs>
  <TotalTime>1</TotalTime>
  <ScaleCrop>false</ScaleCrop>
  <LinksUpToDate>false</LinksUpToDate>
  <CharactersWithSpaces>2667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2021-06-15T03:46:00Z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