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重庆臻远电气有限公司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E3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2021-06-15T06:37:19Z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