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right"/>
        <w:rPr>
          <w:b/>
        </w:rPr>
      </w:pPr>
      <w:r>
        <w:rPr>
          <w:rFonts w:hint="eastAsia" w:ascii="宋体" w:hAnsi="宋体"/>
          <w:sz w:val="18"/>
        </w:rPr>
        <w:t>编  号：</w:t>
      </w:r>
      <w:bookmarkStart w:id="0" w:name="合同编号"/>
      <w:r>
        <w:rPr>
          <w:rFonts w:hint="eastAsia" w:ascii="宋体" w:hAnsi="宋体"/>
          <w:b/>
          <w:bCs/>
          <w:kern w:val="0"/>
          <w:szCs w:val="21"/>
          <w:u w:val="single"/>
        </w:rPr>
        <w:t>0334-2019-Q-2021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57216;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重庆臻远电气有限公司</w:t>
      </w:r>
      <w:bookmarkEnd w:id="1"/>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84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843" w:type="dxa"/>
            <w:gridSpan w:val="2"/>
            <w:vAlign w:val="center"/>
          </w:tcPr>
          <w:p>
            <w:pPr>
              <w:jc w:val="center"/>
              <w:rPr>
                <w:b/>
                <w:sz w:val="21"/>
                <w:szCs w:val="21"/>
              </w:rPr>
            </w:pPr>
            <w:r>
              <w:rPr>
                <w:b/>
                <w:sz w:val="21"/>
                <w:szCs w:val="21"/>
              </w:rPr>
              <w:t>19.05.01,34.05.00</w:t>
            </w: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ind w:firstLine="522" w:firstLineChars="200"/>
        <w:rPr>
          <w:rFonts w:asci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■保持认证注册资格：__监督</w:t>
      </w:r>
      <w:r>
        <w:rPr>
          <w:rFonts w:hint="eastAsia"/>
          <w:b/>
          <w:sz w:val="21"/>
          <w:szCs w:val="21"/>
          <w:lang w:val="en-US" w:eastAsia="zh-CN"/>
        </w:rPr>
        <w:t>2</w:t>
      </w:r>
      <w:r>
        <w:rPr>
          <w:rFonts w:hint="eastAsia"/>
          <w:b/>
          <w:sz w:val="21"/>
          <w:szCs w:val="21"/>
        </w:rPr>
        <w:t>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eastAsia="zh-CN"/>
        </w:rPr>
        <w:t>无</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r>
        <w:rPr>
          <w:rFonts w:hint="eastAsia"/>
          <w:b/>
          <w:sz w:val="21"/>
          <w:szCs w:val="21"/>
        </w:rPr>
        <w:t>□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233"/>
        <w:gridCol w:w="850"/>
        <w:gridCol w:w="1620"/>
        <w:gridCol w:w="1192"/>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03" w:type="dxa"/>
            <w:gridSpan w:val="3"/>
          </w:tcPr>
          <w:p>
            <w:pPr>
              <w:spacing w:line="260" w:lineRule="exact"/>
              <w:rPr>
                <w:rFonts w:ascii="宋体"/>
                <w:b/>
                <w:sz w:val="21"/>
              </w:rPr>
            </w:pPr>
            <w:bookmarkStart w:id="8" w:name="组织名称Add"/>
            <w:r>
              <w:rPr>
                <w:rFonts w:ascii="宋体"/>
                <w:b/>
                <w:sz w:val="21"/>
              </w:rPr>
              <w:t>重庆臻远电气有限公司</w:t>
            </w:r>
            <w:bookmarkEnd w:id="8"/>
          </w:p>
        </w:tc>
        <w:tc>
          <w:tcPr>
            <w:tcW w:w="119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693" w:type="dxa"/>
          </w:tcPr>
          <w:p>
            <w:pPr>
              <w:spacing w:line="260" w:lineRule="exact"/>
              <w:rPr>
                <w:rFonts w:ascii="宋体"/>
                <w:b/>
                <w:sz w:val="21"/>
              </w:rPr>
            </w:pPr>
            <w:r>
              <w:rPr>
                <w:rFonts w:ascii="宋体"/>
                <w:b/>
                <w:sz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703" w:type="dxa"/>
            <w:gridSpan w:val="3"/>
          </w:tcPr>
          <w:p>
            <w:pPr>
              <w:rPr>
                <w:rFonts w:ascii="宋体"/>
                <w:b/>
                <w:sz w:val="21"/>
              </w:rPr>
            </w:pPr>
            <w:bookmarkStart w:id="9" w:name="注册地址"/>
            <w:r>
              <w:rPr>
                <w:rFonts w:ascii="宋体"/>
                <w:b/>
                <w:sz w:val="21"/>
              </w:rPr>
              <w:t>重庆市九龙坡区科园四街52号石桥铺标准厂房K座4楼4-1</w:t>
            </w:r>
            <w:bookmarkEnd w:id="9"/>
          </w:p>
        </w:tc>
        <w:tc>
          <w:tcPr>
            <w:tcW w:w="1192" w:type="dxa"/>
            <w:vMerge w:val="restart"/>
            <w:vAlign w:val="center"/>
          </w:tcPr>
          <w:p>
            <w:pPr>
              <w:jc w:val="center"/>
              <w:rPr>
                <w:rFonts w:ascii="宋体"/>
                <w:b/>
                <w:sz w:val="21"/>
              </w:rPr>
            </w:pPr>
            <w:r>
              <w:rPr>
                <w:rFonts w:hint="eastAsia" w:ascii="宋体" w:hAnsi="宋体"/>
                <w:b/>
                <w:sz w:val="21"/>
              </w:rPr>
              <w:t>邮编</w:t>
            </w:r>
          </w:p>
        </w:tc>
        <w:tc>
          <w:tcPr>
            <w:tcW w:w="1693" w:type="dxa"/>
          </w:tcPr>
          <w:p>
            <w:pPr>
              <w:rPr>
                <w:rFonts w:ascii="宋体"/>
                <w:b/>
                <w:sz w:val="21"/>
              </w:rPr>
            </w:pPr>
            <w:bookmarkStart w:id="10" w:name="注册邮编"/>
            <w:r>
              <w:rPr>
                <w:rFonts w:ascii="宋体"/>
                <w:b/>
                <w:sz w:val="21"/>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703" w:type="dxa"/>
            <w:gridSpan w:val="3"/>
          </w:tcPr>
          <w:p>
            <w:pPr>
              <w:rPr>
                <w:rFonts w:ascii="宋体"/>
                <w:b/>
                <w:sz w:val="21"/>
              </w:rPr>
            </w:pPr>
            <w:bookmarkStart w:id="11" w:name="办公地址"/>
            <w:r>
              <w:rPr>
                <w:rFonts w:ascii="宋体"/>
                <w:b/>
                <w:sz w:val="21"/>
              </w:rPr>
              <w:t>重庆市北碚区悦复大道金科两江健康科技城E17工业用地8-2</w:t>
            </w:r>
            <w:bookmarkEnd w:id="11"/>
          </w:p>
        </w:tc>
        <w:tc>
          <w:tcPr>
            <w:tcW w:w="1192" w:type="dxa"/>
            <w:vMerge w:val="continue"/>
            <w:vAlign w:val="center"/>
          </w:tcPr>
          <w:p>
            <w:pPr>
              <w:jc w:val="center"/>
              <w:rPr>
                <w:rFonts w:ascii="宋体"/>
                <w:b/>
                <w:sz w:val="21"/>
              </w:rPr>
            </w:pPr>
          </w:p>
        </w:tc>
        <w:tc>
          <w:tcPr>
            <w:tcW w:w="1693" w:type="dxa"/>
          </w:tcPr>
          <w:p>
            <w:pPr>
              <w:rPr>
                <w:rFonts w:ascii="宋体"/>
                <w:b/>
                <w:sz w:val="21"/>
              </w:rPr>
            </w:pPr>
            <w:bookmarkStart w:id="12" w:name="办公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03" w:type="dxa"/>
            <w:gridSpan w:val="3"/>
          </w:tcPr>
          <w:p>
            <w:pPr>
              <w:rPr>
                <w:rFonts w:ascii="宋体"/>
                <w:b/>
                <w:sz w:val="21"/>
              </w:rPr>
            </w:pPr>
            <w:bookmarkStart w:id="13" w:name="生产地址Add"/>
            <w:r>
              <w:rPr>
                <w:rFonts w:ascii="宋体"/>
                <w:b/>
                <w:sz w:val="21"/>
              </w:rPr>
              <w:t>重庆市北碚区悦复大道金科两江健康科技城E17工业用地8-2</w:t>
            </w:r>
            <w:bookmarkEnd w:id="13"/>
          </w:p>
        </w:tc>
        <w:tc>
          <w:tcPr>
            <w:tcW w:w="1192" w:type="dxa"/>
            <w:vMerge w:val="continue"/>
            <w:vAlign w:val="center"/>
          </w:tcPr>
          <w:p>
            <w:pPr>
              <w:jc w:val="center"/>
              <w:rPr>
                <w:rFonts w:ascii="宋体"/>
                <w:b/>
                <w:sz w:val="21"/>
              </w:rPr>
            </w:pPr>
          </w:p>
        </w:tc>
        <w:tc>
          <w:tcPr>
            <w:tcW w:w="1693" w:type="dxa"/>
          </w:tcPr>
          <w:p>
            <w:pPr>
              <w:rPr>
                <w:rFonts w:ascii="宋体"/>
                <w:b/>
                <w:sz w:val="21"/>
              </w:rPr>
            </w:pPr>
            <w:bookmarkStart w:id="14" w:name="生产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233" w:type="dxa"/>
          </w:tcPr>
          <w:p>
            <w:pPr>
              <w:rPr>
                <w:rFonts w:ascii="宋体"/>
                <w:b/>
                <w:sz w:val="21"/>
              </w:rPr>
            </w:pPr>
            <w:bookmarkStart w:id="15" w:name="联系人"/>
            <w:r>
              <w:rPr>
                <w:rFonts w:ascii="宋体"/>
                <w:b/>
                <w:sz w:val="21"/>
              </w:rPr>
              <w:t>袁进</w:t>
            </w:r>
            <w:bookmarkEnd w:id="15"/>
          </w:p>
        </w:tc>
        <w:tc>
          <w:tcPr>
            <w:tcW w:w="850" w:type="dxa"/>
            <w:vAlign w:val="center"/>
          </w:tcPr>
          <w:p>
            <w:pPr>
              <w:jc w:val="center"/>
              <w:rPr>
                <w:rFonts w:ascii="宋体"/>
                <w:b/>
                <w:sz w:val="21"/>
              </w:rPr>
            </w:pPr>
            <w:r>
              <w:rPr>
                <w:rFonts w:hint="eastAsia" w:ascii="宋体" w:hAnsi="宋体"/>
                <w:b/>
                <w:sz w:val="21"/>
              </w:rPr>
              <w:t>电话</w:t>
            </w:r>
            <w:r>
              <w:rPr>
                <w:b/>
                <w:sz w:val="16"/>
                <w:szCs w:val="16"/>
              </w:rPr>
              <w:t>.</w:t>
            </w:r>
          </w:p>
        </w:tc>
        <w:tc>
          <w:tcPr>
            <w:tcW w:w="1620" w:type="dxa"/>
            <w:vAlign w:val="center"/>
          </w:tcPr>
          <w:p>
            <w:pPr>
              <w:jc w:val="center"/>
              <w:rPr>
                <w:rFonts w:ascii="宋体"/>
                <w:b/>
                <w:sz w:val="21"/>
              </w:rPr>
            </w:pPr>
            <w:bookmarkStart w:id="16" w:name="联系人电话Add"/>
            <w:r>
              <w:rPr>
                <w:rFonts w:ascii="宋体"/>
                <w:b/>
                <w:sz w:val="21"/>
              </w:rPr>
              <w:t>023-62916301</w:t>
            </w:r>
            <w:bookmarkEnd w:id="16"/>
          </w:p>
        </w:tc>
        <w:tc>
          <w:tcPr>
            <w:tcW w:w="1192" w:type="dxa"/>
            <w:vAlign w:val="center"/>
          </w:tcPr>
          <w:p>
            <w:pPr>
              <w:jc w:val="center"/>
              <w:rPr>
                <w:rFonts w:ascii="宋体"/>
                <w:b/>
                <w:sz w:val="21"/>
              </w:rPr>
            </w:pPr>
            <w:r>
              <w:rPr>
                <w:rFonts w:hint="eastAsia" w:ascii="宋体" w:hAnsi="宋体"/>
                <w:b/>
                <w:sz w:val="21"/>
              </w:rPr>
              <w:t>传真</w:t>
            </w:r>
          </w:p>
        </w:tc>
        <w:tc>
          <w:tcPr>
            <w:tcW w:w="1693"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33" w:type="dxa"/>
          </w:tcPr>
          <w:p>
            <w:pPr>
              <w:rPr>
                <w:rFonts w:ascii="宋体" w:hAnsi="宋体"/>
                <w:b/>
                <w:sz w:val="21"/>
                <w:szCs w:val="21"/>
              </w:rPr>
            </w:pPr>
            <w:bookmarkStart w:id="18" w:name="法人"/>
            <w:r>
              <w:rPr>
                <w:rFonts w:ascii="宋体" w:hAnsi="宋体"/>
                <w:b/>
                <w:sz w:val="21"/>
                <w:szCs w:val="21"/>
              </w:rPr>
              <w:t>张秀宏</w:t>
            </w:r>
            <w:bookmarkEnd w:id="18"/>
          </w:p>
        </w:tc>
        <w:tc>
          <w:tcPr>
            <w:tcW w:w="850" w:type="dxa"/>
            <w:vAlign w:val="center"/>
          </w:tcPr>
          <w:p>
            <w:pPr>
              <w:jc w:val="center"/>
              <w:rPr>
                <w:rFonts w:ascii="宋体" w:hAnsi="宋体"/>
                <w:b/>
                <w:sz w:val="21"/>
                <w:szCs w:val="21"/>
              </w:rPr>
            </w:pPr>
            <w:r>
              <w:rPr>
                <w:rFonts w:hint="eastAsia" w:ascii="宋体" w:hAnsi="宋体"/>
                <w:b/>
                <w:sz w:val="21"/>
                <w:szCs w:val="21"/>
              </w:rPr>
              <w:t>总经理</w:t>
            </w:r>
          </w:p>
        </w:tc>
        <w:tc>
          <w:tcPr>
            <w:tcW w:w="1620" w:type="dxa"/>
          </w:tcPr>
          <w:p>
            <w:pPr>
              <w:rPr>
                <w:rFonts w:ascii="宋体" w:hAnsi="宋体"/>
                <w:b/>
                <w:sz w:val="21"/>
                <w:szCs w:val="21"/>
              </w:rPr>
            </w:pPr>
            <w:r>
              <w:rPr>
                <w:rFonts w:ascii="宋体" w:hAnsi="宋体"/>
                <w:b/>
                <w:sz w:val="21"/>
                <w:szCs w:val="21"/>
              </w:rPr>
              <w:t>张秀宏</w:t>
            </w:r>
          </w:p>
        </w:tc>
        <w:tc>
          <w:tcPr>
            <w:tcW w:w="1192" w:type="dxa"/>
            <w:vAlign w:val="center"/>
          </w:tcPr>
          <w:p>
            <w:pPr>
              <w:jc w:val="center"/>
              <w:rPr>
                <w:rFonts w:ascii="宋体" w:hAnsi="宋体"/>
                <w:b/>
                <w:sz w:val="21"/>
                <w:szCs w:val="21"/>
              </w:rPr>
            </w:pPr>
            <w:r>
              <w:rPr>
                <w:rFonts w:hint="eastAsia" w:ascii="宋体" w:hAnsi="宋体"/>
                <w:b/>
                <w:sz w:val="21"/>
                <w:szCs w:val="21"/>
              </w:rPr>
              <w:t>管理者代表</w:t>
            </w:r>
          </w:p>
        </w:tc>
        <w:tc>
          <w:tcPr>
            <w:tcW w:w="1693" w:type="dxa"/>
          </w:tcPr>
          <w:p>
            <w:pPr>
              <w:rPr>
                <w:rFonts w:ascii="宋体"/>
                <w:b/>
                <w:sz w:val="21"/>
              </w:rPr>
            </w:pPr>
            <w:bookmarkStart w:id="19" w:name="管理者代表"/>
            <w:r>
              <w:rPr>
                <w:rFonts w:ascii="宋体"/>
                <w:b/>
                <w:sz w:val="21"/>
              </w:rPr>
              <w:t>袁进</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83" w:type="dxa"/>
            <w:gridSpan w:val="2"/>
            <w:vAlign w:val="center"/>
          </w:tcPr>
          <w:p>
            <w:pPr>
              <w:rPr>
                <w:rFonts w:ascii="宋体" w:hAnsi="宋体"/>
                <w:b/>
                <w:sz w:val="21"/>
                <w:szCs w:val="21"/>
              </w:rPr>
            </w:pPr>
            <w:r>
              <w:rPr>
                <w:rFonts w:ascii="宋体" w:hAnsi="宋体"/>
                <w:b/>
                <w:sz w:val="21"/>
                <w:szCs w:val="21"/>
              </w:rPr>
              <w:t>2021年06月14日 下午至2021年06月15日 下午</w:t>
            </w:r>
          </w:p>
        </w:tc>
        <w:tc>
          <w:tcPr>
            <w:tcW w:w="1620" w:type="dxa"/>
            <w:vAlign w:val="center"/>
          </w:tcPr>
          <w:p>
            <w:pPr>
              <w:rPr>
                <w:rFonts w:ascii="宋体" w:hAnsi="宋体"/>
                <w:b/>
                <w:sz w:val="21"/>
                <w:szCs w:val="21"/>
              </w:rPr>
            </w:pPr>
            <w:r>
              <w:rPr>
                <w:rFonts w:hint="eastAsia" w:ascii="宋体" w:hAnsi="宋体"/>
                <w:b/>
                <w:sz w:val="21"/>
                <w:szCs w:val="21"/>
              </w:rPr>
              <w:t>一体化审核</w:t>
            </w:r>
          </w:p>
        </w:tc>
        <w:tc>
          <w:tcPr>
            <w:tcW w:w="2885"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sz w:val="20"/>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E勾选Add1"/>
            <w:r>
              <w:rPr>
                <w:rFonts w:hint="eastAsia" w:ascii="宋体" w:hAnsi="宋体"/>
              </w:rPr>
              <w:t>变电站智能监测设备的设计生产；变电站检测仪器、仪表的生产</w:t>
            </w:r>
          </w:p>
          <w:p>
            <w:pPr>
              <w:spacing w:line="360" w:lineRule="exact"/>
              <w:rPr>
                <w:rFonts w:ascii="宋体" w:hAnsi="宋体"/>
                <w:b/>
                <w:sz w:val="21"/>
                <w:szCs w:val="21"/>
              </w:rPr>
            </w:pPr>
            <w:r>
              <w:rPr>
                <w:rFonts w:hint="eastAsia" w:ascii="宋体" w:hAnsi="宋体"/>
                <w:b/>
                <w:sz w:val="21"/>
                <w:szCs w:val="21"/>
              </w:rPr>
              <w:t>■</w:t>
            </w:r>
            <w:bookmarkEnd w:id="21"/>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2" w:name="S勾选Add2"/>
            <w:r>
              <w:rPr>
                <w:rFonts w:hint="eastAsia" w:ascii="宋体" w:hAnsi="宋体"/>
                <w:b/>
                <w:sz w:val="21"/>
                <w:szCs w:val="21"/>
              </w:rPr>
              <w:t>■</w:t>
            </w:r>
            <w:bookmarkEnd w:id="22"/>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33" w:type="dxa"/>
          </w:tcPr>
          <w:p>
            <w:pPr>
              <w:spacing w:line="260" w:lineRule="exact"/>
              <w:rPr>
                <w:rFonts w:hint="eastAsia" w:ascii="宋体" w:hAnsi="宋体"/>
                <w:b/>
                <w:sz w:val="21"/>
                <w:szCs w:val="21"/>
              </w:rPr>
            </w:pPr>
            <w:bookmarkStart w:id="23" w:name="专业代码"/>
            <w:r>
              <w:rPr>
                <w:rFonts w:ascii="宋体" w:hAnsi="宋体"/>
                <w:b/>
                <w:sz w:val="21"/>
                <w:szCs w:val="21"/>
              </w:rPr>
              <w:t>Q：</w:t>
            </w:r>
            <w:r>
              <w:rPr>
                <w:rFonts w:hint="eastAsia" w:ascii="宋体" w:hAnsi="宋体"/>
                <w:b/>
                <w:sz w:val="21"/>
                <w:szCs w:val="21"/>
              </w:rPr>
              <w:t>19.05.01,34.05.00</w:t>
            </w:r>
          </w:p>
          <w:bookmarkEnd w:id="23"/>
          <w:p>
            <w:pPr>
              <w:spacing w:line="260" w:lineRule="exact"/>
              <w:rPr>
                <w:rFonts w:ascii="宋体" w:hAnsi="宋体"/>
                <w:b/>
                <w:sz w:val="21"/>
                <w:szCs w:val="21"/>
              </w:rPr>
            </w:pPr>
          </w:p>
        </w:tc>
        <w:tc>
          <w:tcPr>
            <w:tcW w:w="85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20" w:type="dxa"/>
          </w:tcPr>
          <w:p>
            <w:pPr>
              <w:spacing w:line="260" w:lineRule="exact"/>
              <w:rPr>
                <w:rFonts w:hint="eastAsia" w:ascii="宋体" w:hAnsi="宋体"/>
                <w:b/>
                <w:sz w:val="21"/>
                <w:szCs w:val="21"/>
              </w:rPr>
            </w:pPr>
          </w:p>
          <w:p>
            <w:pPr>
              <w:spacing w:line="260" w:lineRule="exact"/>
              <w:rPr>
                <w:rFonts w:ascii="宋体" w:hAnsi="宋体"/>
                <w:b/>
                <w:sz w:val="21"/>
                <w:szCs w:val="21"/>
              </w:rPr>
            </w:pPr>
            <w:r>
              <w:rPr>
                <w:rFonts w:hint="eastAsia" w:ascii="宋体" w:hAnsi="宋体"/>
                <w:b/>
                <w:sz w:val="21"/>
                <w:szCs w:val="21"/>
              </w:rPr>
              <w:t>Q：2022.8.4</w:t>
            </w:r>
          </w:p>
          <w:p>
            <w:pPr>
              <w:spacing w:line="260" w:lineRule="exact"/>
              <w:rPr>
                <w:rFonts w:ascii="宋体" w:hAnsi="宋体"/>
                <w:b/>
                <w:sz w:val="21"/>
                <w:szCs w:val="21"/>
              </w:rPr>
            </w:pPr>
          </w:p>
        </w:tc>
        <w:tc>
          <w:tcPr>
            <w:tcW w:w="1192" w:type="dxa"/>
            <w:vAlign w:val="center"/>
          </w:tcPr>
          <w:p>
            <w:pPr>
              <w:spacing w:line="260" w:lineRule="exact"/>
              <w:jc w:val="both"/>
              <w:rPr>
                <w:rFonts w:ascii="宋体" w:hAnsi="宋体"/>
                <w:b/>
                <w:sz w:val="21"/>
                <w:szCs w:val="21"/>
              </w:rPr>
            </w:pPr>
            <w:r>
              <w:rPr>
                <w:rFonts w:hint="eastAsia" w:ascii="宋体" w:hAnsi="宋体"/>
                <w:b/>
                <w:sz w:val="21"/>
                <w:szCs w:val="21"/>
              </w:rPr>
              <w:t>上年度审核日期</w:t>
            </w:r>
          </w:p>
        </w:tc>
        <w:tc>
          <w:tcPr>
            <w:tcW w:w="1693" w:type="dxa"/>
          </w:tcPr>
          <w:p>
            <w:pPr>
              <w:spacing w:line="260" w:lineRule="exact"/>
              <w:rPr>
                <w:rFonts w:ascii="宋体"/>
                <w:b/>
                <w:sz w:val="21"/>
              </w:rPr>
            </w:pPr>
            <w:bookmarkStart w:id="24" w:name="审核日期"/>
            <w:r>
              <w:rPr>
                <w:rFonts w:ascii="宋体" w:hAnsi="宋体"/>
                <w:b/>
                <w:sz w:val="21"/>
                <w:szCs w:val="21"/>
              </w:rPr>
              <w:t>2020年09月24日 上午至2020年09月26日 上午</w:t>
            </w:r>
            <w:bookmarkEnd w:id="24"/>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rPr>
        <w:t>变电站智能监测设备的设计生产；变电站检测仪器、仪表的生产</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ascii="宋体" w:hAnsi="宋体"/>
          <w:b/>
          <w:sz w:val="21"/>
          <w:szCs w:val="21"/>
        </w:rPr>
        <w:t>2020年09月24日 上午</w:t>
      </w:r>
      <w:r>
        <w:rPr>
          <w:rFonts w:hint="eastAsia" w:ascii="宋体" w:hAnsi="宋体"/>
          <w:b/>
          <w:sz w:val="21"/>
          <w:szCs w:val="21"/>
        </w:rPr>
        <w:t>至</w:t>
      </w:r>
      <w:r>
        <w:rPr>
          <w:rFonts w:ascii="宋体" w:hAnsi="宋体"/>
          <w:b/>
          <w:sz w:val="21"/>
          <w:szCs w:val="21"/>
        </w:rPr>
        <w:t>2020年09月26日 上午</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632" w:firstLineChars="300"/>
              <w:rPr>
                <w:rFonts w:ascii="宋体" w:hAnsi="宋体"/>
                <w:b/>
                <w:sz w:val="21"/>
                <w:szCs w:val="21"/>
              </w:rPr>
            </w:pPr>
            <w:r>
              <w:rPr>
                <w:rFonts w:hint="eastAsia" w:ascii="宋体" w:hAnsi="宋体"/>
                <w:b/>
                <w:sz w:val="21"/>
                <w:szCs w:val="21"/>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b/>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ind w:firstLine="422" w:firstLineChars="200"/>
              <w:jc w:val="left"/>
              <w:rPr>
                <w:rFonts w:ascii="宋体" w:hAnsi="宋体"/>
                <w:b/>
                <w:sz w:val="21"/>
                <w:szCs w:val="21"/>
              </w:rPr>
            </w:pPr>
            <w:r>
              <w:rPr>
                <w:rFonts w:hint="eastAsia" w:ascii="宋体" w:hAnsi="宋体"/>
                <w:b/>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质量方针：“科技先进优质高效  顾客至上尊信守约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hint="eastAsia" w:ascii="宋体" w:hAnsi="宋体"/>
                <w:b/>
                <w:sz w:val="21"/>
                <w:szCs w:val="21"/>
              </w:rPr>
              <w:t>4、风险识别与控制策划（QMS）</w:t>
            </w:r>
          </w:p>
          <w:p>
            <w:pPr>
              <w:spacing w:line="280" w:lineRule="exact"/>
              <w:rPr>
                <w:rFonts w:ascii="宋体" w:hAnsi="宋体"/>
                <w:b/>
                <w:sz w:val="21"/>
                <w:szCs w:val="21"/>
              </w:rPr>
            </w:pPr>
            <w:r>
              <w:rPr>
                <w:rFonts w:hint="eastAsia" w:ascii="宋体" w:hAnsi="宋体"/>
                <w:b/>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质量管理体系过程有：研发过程、生产过程、检验过程、</w:t>
            </w:r>
            <w:r>
              <w:rPr>
                <w:rFonts w:hint="eastAsia" w:ascii="宋体" w:hAnsi="宋体"/>
                <w:b/>
                <w:color w:val="000000" w:themeColor="text1"/>
                <w:sz w:val="20"/>
              </w:rPr>
              <w:t>合同评审等过程。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r>
              <w:rPr>
                <w:rFonts w:hint="eastAsia" w:ascii="宋体" w:hAnsi="宋体"/>
                <w:b/>
                <w:color w:val="000000" w:themeColor="text1"/>
                <w:sz w:val="20"/>
              </w:rPr>
              <w:t>：设计、组装过程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需要确认过程：焊接过程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32" o:spid="_x0000_s1032" o:spt="32" type="#_x0000_t32" style="position:absolute;left:0pt;margin-left:157.9pt;margin-top:12.75pt;height:0pt;width:261.75pt;z-index:251664384;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31" o:spid="_x0000_s1031"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删减条款是，无，删减理由：本公司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危险源，☑确定□未确定法律法规要求的具体条款，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themeColor="text1"/>
                <w:szCs w:val="21"/>
              </w:rPr>
              <w:t>培训、会议、张贴。</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Cs/>
                <w:sz w:val="21"/>
                <w:szCs w:val="21"/>
              </w:rPr>
            </w:pPr>
            <w:r>
              <w:rPr>
                <w:rFonts w:hint="eastAsia" w:ascii="宋体" w:hAnsi="宋体"/>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firstLine="420" w:firstLineChars="200"/>
              <w:jc w:val="left"/>
              <w:rPr>
                <w:rFonts w:ascii="宋体" w:hAnsi="宋体"/>
                <w:bCs/>
                <w:sz w:val="21"/>
                <w:szCs w:val="21"/>
              </w:rPr>
            </w:pPr>
            <w:r>
              <w:rPr>
                <w:rFonts w:hint="eastAsia" w:ascii="宋体" w:hAnsi="宋体"/>
                <w:bCs/>
                <w:sz w:val="21"/>
                <w:szCs w:val="21"/>
              </w:rPr>
              <w:t xml:space="preserve">质量目标为： </w:t>
            </w:r>
          </w:p>
          <w:p>
            <w:pPr>
              <w:spacing w:line="360" w:lineRule="auto"/>
              <w:ind w:firstLine="420" w:firstLineChars="200"/>
              <w:jc w:val="left"/>
              <w:rPr>
                <w:rFonts w:ascii="宋体" w:hAnsi="宋体"/>
                <w:bCs/>
                <w:color w:val="000000" w:themeColor="text1"/>
                <w:sz w:val="21"/>
                <w:szCs w:val="21"/>
              </w:rPr>
            </w:pPr>
            <w:r>
              <w:rPr>
                <w:rFonts w:hint="eastAsia" w:ascii="宋体" w:hAnsi="宋体"/>
                <w:bCs/>
                <w:sz w:val="21"/>
                <w:szCs w:val="21"/>
              </w:rPr>
              <w:t>1. 产品一次交验合格率98</w:t>
            </w:r>
            <w:r>
              <w:rPr>
                <w:rFonts w:hint="eastAsia" w:ascii="宋体" w:hAnsi="宋体"/>
                <w:bCs/>
                <w:color w:val="000000" w:themeColor="text1"/>
                <w:sz w:val="21"/>
                <w:szCs w:val="21"/>
              </w:rPr>
              <w:t>％以上；</w:t>
            </w:r>
          </w:p>
          <w:p>
            <w:pPr>
              <w:spacing w:line="360" w:lineRule="auto"/>
              <w:ind w:firstLine="420" w:firstLineChars="200"/>
              <w:jc w:val="left"/>
              <w:rPr>
                <w:rFonts w:ascii="宋体" w:hAnsi="宋体"/>
                <w:bCs/>
                <w:color w:val="000000" w:themeColor="text1"/>
                <w:sz w:val="21"/>
                <w:szCs w:val="21"/>
              </w:rPr>
            </w:pPr>
            <w:r>
              <w:rPr>
                <w:rFonts w:hint="eastAsia" w:ascii="宋体" w:hAnsi="宋体"/>
                <w:bCs/>
                <w:color w:val="000000" w:themeColor="text1"/>
                <w:sz w:val="21"/>
                <w:szCs w:val="21"/>
              </w:rPr>
              <w:t>2. 客户满意度达到90％以上；</w:t>
            </w:r>
          </w:p>
          <w:p>
            <w:pPr>
              <w:spacing w:line="240" w:lineRule="exact"/>
              <w:rPr>
                <w:rFonts w:ascii="宋体" w:hAnsi="宋体"/>
                <w:b/>
                <w:sz w:val="21"/>
                <w:szCs w:val="21"/>
              </w:rPr>
            </w:pPr>
            <w:r>
              <w:rPr>
                <w:rFonts w:hint="eastAsia" w:ascii="宋体" w:hAnsi="宋体"/>
                <w:b/>
                <w:color w:val="000000" w:themeColor="text1"/>
                <w:sz w:val="21"/>
                <w:szCs w:val="21"/>
              </w:rPr>
              <w:t>通过202</w:t>
            </w:r>
            <w:r>
              <w:rPr>
                <w:rFonts w:hint="eastAsia" w:ascii="宋体" w:hAnsi="宋体"/>
                <w:b/>
                <w:color w:val="000000" w:themeColor="text1"/>
                <w:sz w:val="21"/>
                <w:szCs w:val="21"/>
                <w:lang w:val="en-US" w:eastAsia="zh-CN"/>
              </w:rPr>
              <w:t>1</w:t>
            </w:r>
            <w:r>
              <w:rPr>
                <w:rFonts w:hint="eastAsia" w:ascii="宋体" w:hAnsi="宋体"/>
                <w:b/>
                <w:color w:val="000000" w:themeColor="text1"/>
                <w:sz w:val="21"/>
                <w:szCs w:val="21"/>
              </w:rPr>
              <w:t>年1-</w:t>
            </w:r>
            <w:r>
              <w:rPr>
                <w:rFonts w:hint="eastAsia" w:ascii="宋体" w:hAnsi="宋体"/>
                <w:b/>
                <w:color w:val="000000" w:themeColor="text1"/>
                <w:sz w:val="21"/>
                <w:szCs w:val="21"/>
                <w:lang w:val="en-US" w:eastAsia="zh-CN"/>
              </w:rPr>
              <w:t>5</w:t>
            </w:r>
            <w:r>
              <w:rPr>
                <w:rFonts w:hint="eastAsia" w:ascii="宋体" w:hAnsi="宋体"/>
                <w:b/>
                <w:color w:val="000000" w:themeColor="text1"/>
                <w:sz w:val="21"/>
                <w:szCs w:val="21"/>
              </w:rPr>
              <w:t>月统计，均达到目标。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color w:val="000000" w:themeColor="text1"/>
                <w:sz w:val="21"/>
                <w:szCs w:val="16"/>
              </w:rPr>
              <w:t>公司按照申请认证的标准要求，建立并形成了文件化的</w:t>
            </w:r>
            <w:r>
              <w:rPr>
                <w:rFonts w:hint="eastAsia" w:ascii="宋体" w:hAnsi="宋体"/>
                <w:color w:val="000000" w:themeColor="text1"/>
                <w:sz w:val="21"/>
                <w:szCs w:val="16"/>
              </w:rPr>
              <w:t>环境和职业健康安全</w:t>
            </w:r>
            <w:r>
              <w:rPr>
                <w:rFonts w:hint="eastAsia" w:ascii="宋体" w:hAnsi="宋体" w:cs="宋体"/>
                <w:color w:val="000000" w:themeColor="text1"/>
                <w:sz w:val="21"/>
                <w:szCs w:val="16"/>
              </w:rPr>
              <w:t>管理体系，体系文件对管理体系各过程进行了识别确定、明确了各要素间的相互关系及其管控要求。公司体系文件，质量体系文件</w:t>
            </w:r>
            <w:r>
              <w:rPr>
                <w:rFonts w:hint="eastAsia" w:asciiTheme="majorEastAsia" w:hAnsiTheme="majorEastAsia" w:eastAsiaTheme="majorEastAsia" w:cstheme="majorEastAsia"/>
                <w:color w:val="000000" w:themeColor="text1"/>
                <w:sz w:val="21"/>
                <w:szCs w:val="16"/>
              </w:rPr>
              <w:t>于</w:t>
            </w:r>
            <w:r>
              <w:rPr>
                <w:rFonts w:hint="eastAsia" w:asciiTheme="majorEastAsia" w:hAnsiTheme="majorEastAsia" w:eastAsiaTheme="majorEastAsia" w:cstheme="majorEastAsia"/>
                <w:color w:val="000000"/>
                <w:sz w:val="21"/>
                <w:szCs w:val="21"/>
              </w:rPr>
              <w:t>2019年1月10日</w:t>
            </w:r>
            <w:r>
              <w:rPr>
                <w:rFonts w:hint="eastAsia" w:asciiTheme="majorEastAsia" w:hAnsiTheme="majorEastAsia" w:eastAsiaTheme="majorEastAsia" w:cstheme="majorEastAsia"/>
                <w:color w:val="000000" w:themeColor="text1"/>
                <w:sz w:val="21"/>
                <w:szCs w:val="16"/>
              </w:rPr>
              <w:t>予</w:t>
            </w:r>
            <w:r>
              <w:rPr>
                <w:rFonts w:hint="eastAsia" w:ascii="宋体" w:hAnsi="宋体" w:cs="宋体"/>
                <w:color w:val="000000" w:themeColor="text1"/>
                <w:sz w:val="21"/>
                <w:szCs w:val="16"/>
              </w:rPr>
              <w:t>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tabs>
                <w:tab w:val="left" w:pos="2552"/>
              </w:tabs>
              <w:spacing w:line="0" w:lineRule="atLeast"/>
              <w:rPr>
                <w:rFonts w:ascii="Helvetica" w:hAnsi="Helvetica" w:cs="Helvetica"/>
                <w:b/>
                <w:sz w:val="21"/>
                <w:szCs w:val="21"/>
                <w:shd w:val="clear" w:color="auto" w:fill="FFFFFF"/>
              </w:rPr>
            </w:pPr>
            <w:r>
              <w:rPr>
                <w:rFonts w:hint="eastAsia" w:ascii="Helvetica" w:hAnsi="Helvetica" w:cs="Helvetica"/>
                <w:b/>
                <w:sz w:val="21"/>
                <w:szCs w:val="21"/>
                <w:shd w:val="clear" w:color="auto" w:fill="FFFFFF"/>
              </w:rPr>
              <w:t>人力资源的简要说明</w:t>
            </w:r>
            <w:r>
              <w:rPr>
                <w:rFonts w:ascii="Helvetica" w:hAnsi="Helvetica" w:cs="Helvetica"/>
                <w:b/>
                <w:sz w:val="21"/>
                <w:szCs w:val="21"/>
                <w:shd w:val="clear" w:color="auto" w:fill="FFFFFF"/>
              </w:rPr>
              <w:t>.:</w:t>
            </w:r>
          </w:p>
          <w:p>
            <w:pPr>
              <w:tabs>
                <w:tab w:val="left" w:pos="2552"/>
              </w:tabs>
              <w:spacing w:line="0" w:lineRule="atLeast"/>
              <w:ind w:firstLine="420" w:firstLineChars="200"/>
              <w:rPr>
                <w:rFonts w:ascii="Helvetica" w:hAnsi="Helvetica" w:cs="Helvetica"/>
                <w:sz w:val="21"/>
                <w:szCs w:val="21"/>
                <w:shd w:val="clear" w:color="auto" w:fill="FFFFFF"/>
              </w:rPr>
            </w:pPr>
            <w:r>
              <w:rPr>
                <w:rFonts w:hint="eastAsia" w:ascii="Helvetica" w:hAnsi="Helvetica" w:cs="Helvetica"/>
                <w:sz w:val="21"/>
                <w:szCs w:val="21"/>
                <w:shd w:val="clear" w:color="auto" w:fill="FFFFFF"/>
              </w:rPr>
              <w:t>组织按管理体系需求配置了充足的人员、设施、监视和测量设备等资源，并建立维持了电线电缆销售，电力设备租赁及相关服务运行环境，可以维持管理体系的正常运行。</w:t>
            </w:r>
          </w:p>
          <w:p>
            <w:pPr>
              <w:tabs>
                <w:tab w:val="left" w:pos="2552"/>
              </w:tabs>
              <w:spacing w:line="0" w:lineRule="atLeast"/>
              <w:ind w:firstLine="420" w:firstLineChars="200"/>
              <w:rPr>
                <w:rFonts w:ascii="Helvetica" w:hAnsi="Helvetica" w:cs="Helvetica"/>
                <w:sz w:val="21"/>
                <w:szCs w:val="21"/>
                <w:shd w:val="clear" w:color="auto" w:fill="FFFFFF"/>
              </w:rPr>
            </w:pPr>
            <w:r>
              <w:rPr>
                <w:rFonts w:hint="eastAsia" w:ascii="Helvetica" w:hAnsi="Helvetica" w:cs="Helvetica"/>
                <w:sz w:val="21"/>
                <w:szCs w:val="21"/>
                <w:shd w:val="clear" w:color="auto" w:fill="FFFFFF"/>
              </w:rPr>
              <w:t>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tabs>
                <w:tab w:val="left" w:pos="2552"/>
              </w:tabs>
              <w:spacing w:line="0" w:lineRule="atLeast"/>
              <w:rPr>
                <w:rFonts w:ascii="Helvetica" w:hAnsi="Helvetica" w:cs="Helvetica"/>
                <w:b/>
                <w:sz w:val="21"/>
                <w:szCs w:val="21"/>
                <w:shd w:val="clear" w:color="auto" w:fill="FFFFFF"/>
              </w:rPr>
            </w:pPr>
            <w:r>
              <w:rPr>
                <w:rFonts w:hint="eastAsia" w:ascii="Helvetica" w:hAnsi="Helvetica" w:cs="Helvetica"/>
                <w:b/>
                <w:sz w:val="21"/>
                <w:szCs w:val="21"/>
                <w:shd w:val="clear" w:color="auto" w:fill="FFFFFF"/>
              </w:rPr>
              <w:t>设备设施（包括信息系统）、</w:t>
            </w:r>
          </w:p>
          <w:p>
            <w:pPr>
              <w:tabs>
                <w:tab w:val="left" w:pos="2552"/>
              </w:tabs>
              <w:spacing w:line="0" w:lineRule="atLeast"/>
              <w:ind w:firstLine="420" w:firstLineChars="200"/>
              <w:jc w:val="left"/>
              <w:rPr>
                <w:rFonts w:ascii="Helvetica" w:hAnsi="Helvetica" w:cs="Helvetica"/>
                <w:sz w:val="21"/>
                <w:szCs w:val="21"/>
                <w:shd w:val="clear" w:color="auto" w:fill="FFFFFF"/>
              </w:rPr>
            </w:pPr>
            <w:r>
              <w:rPr>
                <w:rFonts w:hint="eastAsia" w:ascii="Helvetica" w:hAnsi="Helvetica" w:cs="Helvetica"/>
                <w:sz w:val="21"/>
                <w:szCs w:val="21"/>
                <w:shd w:val="clear" w:color="auto" w:fill="FFFFFF"/>
              </w:rPr>
              <w:t>厂房面</w:t>
            </w:r>
            <w:r>
              <w:rPr>
                <w:rFonts w:hint="eastAsia" w:asciiTheme="majorEastAsia" w:hAnsiTheme="majorEastAsia" w:eastAsiaTheme="majorEastAsia" w:cstheme="majorEastAsia"/>
                <w:sz w:val="21"/>
                <w:szCs w:val="21"/>
                <w:shd w:val="clear" w:color="auto" w:fill="FFFFFF"/>
              </w:rPr>
              <w:t>积1000平方米左右，车间、库房分开，办公场所面积300平方米。主要设备包括：数字可调电源、调温电烙铁、空压</w:t>
            </w:r>
            <w:r>
              <w:rPr>
                <w:rFonts w:hint="eastAsia" w:ascii="Helvetica" w:hAnsi="Helvetica" w:cs="Helvetica"/>
                <w:sz w:val="21"/>
                <w:szCs w:val="21"/>
                <w:shd w:val="clear" w:color="auto" w:fill="FFFFFF"/>
              </w:rPr>
              <w:t>机、工作台等，可以满足生产需要。对设备按月方式进行点检维护保养，并实施。特种设备：无。公司未建立信息管理系统用于生产和服务。</w:t>
            </w:r>
          </w:p>
          <w:p>
            <w:pPr>
              <w:tabs>
                <w:tab w:val="left" w:pos="2552"/>
              </w:tabs>
              <w:spacing w:line="0" w:lineRule="atLeast"/>
              <w:ind w:firstLine="420" w:firstLineChars="200"/>
              <w:rPr>
                <w:rFonts w:ascii="Helvetica" w:hAnsi="Helvetica" w:cs="Helvetica"/>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420" w:firstLineChars="200"/>
              <w:rPr>
                <w:rFonts w:ascii="宋体" w:hAnsi="宋体"/>
                <w:b/>
                <w:color w:val="000000" w:themeColor="text1"/>
                <w:sz w:val="21"/>
                <w:szCs w:val="21"/>
              </w:rPr>
            </w:pPr>
            <w:r>
              <w:rPr>
                <w:rFonts w:hint="eastAsia" w:ascii="宋体" w:hAnsi="宋体" w:cs="宋体"/>
                <w:sz w:val="21"/>
                <w:szCs w:val="21"/>
              </w:rPr>
              <w:t>办公场所和内设备布置合理，通道畅通，照明设施齐全，均配备了消防设施等设施。办公室明亮，培训场所光线较充足。每月由综合部对工作环境进行定期检查。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highlight w:val="none"/>
              </w:rPr>
            </w:pPr>
            <w:r>
              <w:rPr>
                <w:rFonts w:hint="eastAsia" w:ascii="宋体" w:hAnsi="宋体"/>
                <w:b/>
                <w:color w:val="000000" w:themeColor="text1"/>
                <w:sz w:val="21"/>
                <w:szCs w:val="21"/>
              </w:rPr>
              <w:t>监视和测量资源</w:t>
            </w:r>
          </w:p>
          <w:p>
            <w:pPr>
              <w:spacing w:line="240" w:lineRule="exact"/>
              <w:ind w:firstLine="420" w:firstLineChars="200"/>
              <w:rPr>
                <w:rFonts w:ascii="宋体" w:hAnsi="宋体"/>
                <w:b/>
                <w:color w:val="000000" w:themeColor="text1"/>
                <w:sz w:val="18"/>
                <w:szCs w:val="18"/>
              </w:rPr>
            </w:pPr>
            <w:r>
              <w:rPr>
                <w:rFonts w:hint="eastAsia" w:asciiTheme="majorEastAsia" w:hAnsiTheme="majorEastAsia" w:eastAsiaTheme="majorEastAsia" w:cstheme="majorEastAsia"/>
                <w:sz w:val="21"/>
                <w:szCs w:val="21"/>
                <w:shd w:val="clear" w:color="auto" w:fill="FFFFFF"/>
              </w:rPr>
              <w:t>查配置有</w:t>
            </w:r>
            <w:r>
              <w:rPr>
                <w:rFonts w:hint="eastAsia" w:asciiTheme="majorEastAsia" w:hAnsiTheme="majorEastAsia" w:eastAsiaTheme="majorEastAsia" w:cstheme="majorEastAsia"/>
                <w:sz w:val="21"/>
                <w:szCs w:val="21"/>
                <w:shd w:val="clear" w:color="auto" w:fill="FFFFFF"/>
                <w:lang w:val="en-US" w:eastAsia="zh-CN"/>
              </w:rPr>
              <w:t>扭力板手、厚度仪、内测千分尺、游标卡尺、耐压测试仪、数字示波器、钳形表</w:t>
            </w:r>
            <w:r>
              <w:rPr>
                <w:rFonts w:hint="eastAsia" w:asciiTheme="majorEastAsia" w:hAnsiTheme="majorEastAsia" w:eastAsiaTheme="majorEastAsia" w:cstheme="majorEastAsia"/>
                <w:sz w:val="21"/>
                <w:szCs w:val="21"/>
                <w:shd w:val="clear" w:color="auto" w:fill="FFFFFF"/>
              </w:rPr>
              <w:t>等检测设备，能满足产</w:t>
            </w:r>
            <w:bookmarkStart w:id="25" w:name="_GoBack"/>
            <w:bookmarkEnd w:id="25"/>
            <w:r>
              <w:rPr>
                <w:rFonts w:hint="eastAsia" w:asciiTheme="majorEastAsia" w:hAnsiTheme="majorEastAsia" w:eastAsiaTheme="majorEastAsia" w:cstheme="majorEastAsia"/>
                <w:sz w:val="21"/>
                <w:szCs w:val="21"/>
                <w:shd w:val="clear" w:color="auto" w:fill="FFFFFF"/>
              </w:rPr>
              <w:t>品检测需要，能提供给有效校准或检定证书。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Cs/>
                <w:sz w:val="21"/>
                <w:szCs w:val="21"/>
              </w:rPr>
            </w:pPr>
            <w:r>
              <w:rPr>
                <w:rFonts w:hint="eastAsia" w:ascii="宋体" w:hAnsi="宋体"/>
                <w:b/>
                <w:sz w:val="21"/>
                <w:szCs w:val="21"/>
              </w:rPr>
              <w:t>内部沟通的情况：内部沟通方式：</w:t>
            </w:r>
            <w:r>
              <w:rPr>
                <w:rFonts w:hint="eastAsia" w:ascii="宋体" w:hAnsi="宋体"/>
                <w:bCs/>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b/>
                <w:sz w:val="21"/>
                <w:szCs w:val="21"/>
              </w:rPr>
            </w:pPr>
            <w:r>
              <w:rPr>
                <w:rFonts w:hint="eastAsia" w:ascii="宋体" w:hAnsi="宋体"/>
                <w:b/>
                <w:sz w:val="21"/>
                <w:szCs w:val="21"/>
              </w:rPr>
              <w:t>内部沟通的效果：良好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楷体_GB2312" w:eastAsia="楷体_GB2312"/>
                <w:bCs/>
                <w:color w:val="000000" w:themeColor="text1"/>
                <w:sz w:val="20"/>
              </w:rPr>
              <w:t>采取顾客满意度调查方式了解顾客感受。</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楷体_GB2312" w:eastAsia="楷体_GB2312"/>
                <w:bCs/>
                <w:color w:val="000000" w:themeColor="text1"/>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color w:val="000000" w:themeColor="text1"/>
                <w:sz w:val="21"/>
                <w:szCs w:val="21"/>
              </w:rPr>
            </w:pPr>
            <w:r>
              <w:rPr>
                <w:rFonts w:hint="eastAsia" w:ascii="宋体" w:hAnsi="宋体"/>
                <w:b/>
                <w:color w:val="000000" w:themeColor="text1"/>
                <w:sz w:val="21"/>
                <w:szCs w:val="21"/>
              </w:rPr>
              <w:t>无</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bCs/>
                <w:sz w:val="21"/>
                <w:szCs w:val="21"/>
              </w:rPr>
              <w:t>公司制定、发布了总体目标并分解到相关职能部门和层次，规定了目标值、计算方法、责任部门、检查人、考核频次等。同时，质量目标得到沟通和监视评价</w:t>
            </w:r>
            <w:r>
              <w:rPr>
                <w:rFonts w:hint="eastAsia" w:ascii="宋体" w:hAnsi="宋体"/>
                <w:bCs/>
                <w:color w:val="000000" w:themeColor="text1"/>
                <w:sz w:val="21"/>
                <w:szCs w:val="21"/>
              </w:rPr>
              <w:t>，通过数据的汇总统计、描述性统计等方法对目标进行了测量，总体已达到或超过了规定的目标值。通过202</w:t>
            </w:r>
            <w:r>
              <w:rPr>
                <w:rFonts w:hint="eastAsia" w:ascii="宋体" w:hAnsi="宋体"/>
                <w:bCs/>
                <w:color w:val="000000" w:themeColor="text1"/>
                <w:sz w:val="21"/>
                <w:szCs w:val="21"/>
                <w:lang w:val="en-US" w:eastAsia="zh-CN"/>
              </w:rPr>
              <w:t>1</w:t>
            </w:r>
            <w:r>
              <w:rPr>
                <w:rFonts w:hint="eastAsia" w:ascii="宋体" w:hAnsi="宋体"/>
                <w:bCs/>
                <w:color w:val="000000" w:themeColor="text1"/>
                <w:sz w:val="21"/>
                <w:szCs w:val="21"/>
              </w:rPr>
              <w:t>年1-</w:t>
            </w:r>
            <w:r>
              <w:rPr>
                <w:rFonts w:hint="eastAsia" w:ascii="宋体" w:hAnsi="宋体"/>
                <w:bCs/>
                <w:color w:val="000000" w:themeColor="text1"/>
                <w:sz w:val="21"/>
                <w:szCs w:val="21"/>
                <w:lang w:val="en-US" w:eastAsia="zh-CN"/>
              </w:rPr>
              <w:t>5</w:t>
            </w:r>
            <w:r>
              <w:rPr>
                <w:rFonts w:hint="eastAsia" w:ascii="宋体" w:hAnsi="宋体"/>
                <w:bCs/>
                <w:color w:val="000000" w:themeColor="text1"/>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color w:val="000000" w:themeColor="text1"/>
                <w:sz w:val="21"/>
                <w:szCs w:val="21"/>
              </w:rPr>
            </w:pPr>
            <w:r>
              <w:rPr>
                <w:rFonts w:hint="eastAsia" w:ascii="宋体" w:hAnsi="宋体"/>
                <w:b/>
                <w:color w:val="000000" w:themeColor="text1"/>
                <w:sz w:val="21"/>
                <w:szCs w:val="21"/>
              </w:rPr>
              <w:t>顾客满意</w:t>
            </w:r>
          </w:p>
          <w:p>
            <w:pPr>
              <w:spacing w:line="240" w:lineRule="exact"/>
              <w:ind w:left="-120" w:leftChars="-50" w:firstLine="420" w:firstLineChars="200"/>
              <w:rPr>
                <w:rFonts w:ascii="宋体" w:hAnsi="宋体"/>
                <w:b/>
                <w:color w:val="000000" w:themeColor="text1"/>
                <w:sz w:val="21"/>
                <w:szCs w:val="21"/>
              </w:rPr>
            </w:pPr>
            <w:r>
              <w:rPr>
                <w:rFonts w:hint="eastAsia" w:ascii="宋体" w:hAnsi="宋体"/>
                <w:bCs/>
                <w:color w:val="000000" w:themeColor="text1"/>
                <w:sz w:val="21"/>
                <w:szCs w:val="21"/>
              </w:rPr>
              <w:t>公司建立了顾客满意度监视和测量控制程序，对顾客投诉处理及顾客满意度评价做了明确的规定，并按规定对顾客反馈及时处理，但在顾</w:t>
            </w:r>
            <w:r>
              <w:rPr>
                <w:rFonts w:hint="eastAsia" w:ascii="宋体" w:hAnsi="宋体"/>
                <w:bCs/>
                <w:color w:val="000000" w:themeColor="text1"/>
                <w:sz w:val="21"/>
                <w:szCs w:val="21"/>
                <w:highlight w:val="none"/>
              </w:rPr>
              <w:t>客反馈信息的利用上不够，需要改善。近年来未发生重大顾客投诉和产品质量事故。顾客满意度调查按规定实施，</w:t>
            </w:r>
            <w:r>
              <w:rPr>
                <w:rFonts w:hint="eastAsia" w:asciiTheme="majorEastAsia" w:hAnsiTheme="majorEastAsia" w:eastAsiaTheme="majorEastAsia" w:cstheme="majorEastAsia"/>
                <w:color w:val="000000" w:themeColor="text1"/>
                <w:sz w:val="21"/>
                <w:szCs w:val="21"/>
                <w:highlight w:val="none"/>
                <w:lang w:val="en-US" w:eastAsia="zh-CN"/>
              </w:rPr>
              <w:t>2021年3月</w:t>
            </w:r>
            <w:r>
              <w:rPr>
                <w:rFonts w:hint="eastAsia" w:ascii="宋体" w:hAnsi="宋体"/>
                <w:bCs/>
                <w:color w:val="000000" w:themeColor="text1"/>
                <w:sz w:val="21"/>
                <w:szCs w:val="21"/>
                <w:highlight w:val="none"/>
              </w:rPr>
              <w:t>实施，满意度评价9</w:t>
            </w:r>
            <w:r>
              <w:rPr>
                <w:rFonts w:hint="eastAsia" w:ascii="宋体" w:hAnsi="宋体"/>
                <w:bCs/>
                <w:color w:val="000000" w:themeColor="text1"/>
                <w:sz w:val="21"/>
                <w:szCs w:val="21"/>
                <w:highlight w:val="none"/>
                <w:lang w:val="en-US" w:eastAsia="zh-CN"/>
              </w:rPr>
              <w:t>6%</w:t>
            </w:r>
            <w:r>
              <w:rPr>
                <w:rFonts w:hint="eastAsia" w:ascii="宋体" w:hAnsi="宋体"/>
                <w:bCs/>
                <w:color w:val="000000" w:themeColor="text1"/>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ascii="宋体" w:hAnsi="宋体"/>
                <w:b/>
                <w:color w:val="000000" w:themeColor="text1"/>
                <w:sz w:val="21"/>
                <w:szCs w:val="21"/>
              </w:rPr>
              <w:t xml:space="preserve">3. </w:t>
            </w:r>
            <w:r>
              <w:rPr>
                <w:rFonts w:hint="eastAsia" w:ascii="宋体" w:hAnsi="宋体"/>
                <w:b/>
                <w:color w:val="000000" w:themeColor="text1"/>
                <w:sz w:val="21"/>
                <w:szCs w:val="21"/>
              </w:rPr>
              <w:t>内审（包括内审策划审核方案中考虑拟审核的过程和区域的状况和重要性）</w:t>
            </w:r>
          </w:p>
          <w:p>
            <w:pPr>
              <w:spacing w:line="240" w:lineRule="exact"/>
              <w:ind w:firstLine="420" w:firstLineChars="200"/>
              <w:rPr>
                <w:rFonts w:ascii="宋体" w:hAnsi="宋体"/>
                <w:b/>
                <w:color w:val="000000" w:themeColor="text1"/>
                <w:sz w:val="21"/>
                <w:szCs w:val="21"/>
              </w:rPr>
            </w:pPr>
            <w:r>
              <w:rPr>
                <w:rFonts w:hint="eastAsia" w:ascii="宋体" w:hAnsi="宋体"/>
                <w:bCs/>
                <w:color w:val="000000" w:themeColor="text1"/>
                <w:sz w:val="21"/>
                <w:szCs w:val="21"/>
              </w:rPr>
              <w:t>建立有《内部审核控制程序》</w:t>
            </w:r>
            <w:r>
              <w:rPr>
                <w:rFonts w:hint="eastAsia" w:ascii="宋体" w:hAnsi="宋体" w:eastAsia="宋体" w:cs="Times New Roman"/>
                <w:bCs/>
                <w:color w:val="000000" w:themeColor="text1"/>
                <w:sz w:val="21"/>
                <w:szCs w:val="21"/>
              </w:rPr>
              <w:t>，规定了内审频次一年一次，内审时间：2021</w:t>
            </w:r>
            <w:r>
              <w:rPr>
                <w:rFonts w:hint="eastAsia" w:ascii="宋体" w:hAnsi="宋体" w:eastAsia="宋体" w:cs="Times New Roman"/>
                <w:bCs/>
                <w:color w:val="000000" w:themeColor="text1"/>
                <w:sz w:val="21"/>
                <w:szCs w:val="21"/>
                <w:lang w:val="en-US" w:eastAsia="zh-CN"/>
              </w:rPr>
              <w:t>年</w:t>
            </w:r>
            <w:r>
              <w:rPr>
                <w:rFonts w:hint="eastAsia" w:ascii="宋体" w:hAnsi="宋体" w:eastAsia="宋体" w:cs="Times New Roman"/>
                <w:bCs/>
                <w:color w:val="000000" w:themeColor="text1"/>
                <w:sz w:val="21"/>
                <w:szCs w:val="21"/>
              </w:rPr>
              <w:t>4</w:t>
            </w:r>
            <w:r>
              <w:rPr>
                <w:rFonts w:hint="eastAsia" w:ascii="宋体" w:hAnsi="宋体" w:eastAsia="宋体" w:cs="Times New Roman"/>
                <w:bCs/>
                <w:color w:val="000000" w:themeColor="text1"/>
                <w:sz w:val="21"/>
                <w:szCs w:val="21"/>
                <w:lang w:val="en-US" w:eastAsia="zh-CN"/>
              </w:rPr>
              <w:t>月</w:t>
            </w:r>
            <w:r>
              <w:rPr>
                <w:rFonts w:hint="eastAsia" w:ascii="宋体" w:hAnsi="宋体" w:eastAsia="宋体" w:cs="Times New Roman"/>
                <w:bCs/>
                <w:color w:val="000000" w:themeColor="text1"/>
                <w:sz w:val="21"/>
                <w:szCs w:val="21"/>
              </w:rPr>
              <w:t>8-9</w:t>
            </w:r>
            <w:r>
              <w:rPr>
                <w:rFonts w:hint="eastAsia" w:ascii="宋体" w:hAnsi="宋体" w:eastAsia="宋体" w:cs="Times New Roman"/>
                <w:bCs/>
                <w:color w:val="000000" w:themeColor="text1"/>
                <w:sz w:val="21"/>
                <w:szCs w:val="21"/>
                <w:lang w:val="en-US" w:eastAsia="zh-CN"/>
              </w:rPr>
              <w:t>日</w:t>
            </w:r>
            <w:r>
              <w:rPr>
                <w:rFonts w:hint="eastAsia" w:ascii="宋体" w:hAnsi="宋体" w:eastAsia="宋体" w:cs="Times New Roman"/>
                <w:bCs/>
                <w:color w:val="000000" w:themeColor="text1"/>
                <w:sz w:val="21"/>
                <w:szCs w:val="21"/>
              </w:rPr>
              <w:t>，拟定了审核实施表，明确了内审范围，内审人员经培训合格上岗，能力满足要求，未出现审核本部门情况，内审不符合项</w:t>
            </w:r>
            <w:r>
              <w:rPr>
                <w:rFonts w:hint="eastAsia" w:ascii="宋体" w:hAnsi="宋体" w:eastAsia="宋体" w:cs="Times New Roman"/>
                <w:bCs/>
                <w:color w:val="000000" w:themeColor="text1"/>
                <w:sz w:val="21"/>
                <w:szCs w:val="21"/>
                <w:lang w:val="en-US" w:eastAsia="zh-CN"/>
              </w:rPr>
              <w:t>1</w:t>
            </w:r>
            <w:r>
              <w:rPr>
                <w:rFonts w:hint="eastAsia" w:ascii="宋体" w:hAnsi="宋体" w:eastAsia="宋体" w:cs="Times New Roman"/>
                <w:bCs/>
                <w:color w:val="000000" w:themeColor="text1"/>
                <w:sz w:val="21"/>
                <w:szCs w:val="21"/>
              </w:rPr>
              <w:t>项，涉及供销部Q8.</w:t>
            </w:r>
            <w:r>
              <w:rPr>
                <w:rFonts w:hint="eastAsia" w:ascii="宋体" w:hAnsi="宋体" w:eastAsia="宋体" w:cs="Times New Roman"/>
                <w:bCs/>
                <w:color w:val="000000" w:themeColor="text1"/>
                <w:sz w:val="21"/>
                <w:szCs w:val="21"/>
                <w:lang w:val="en-US" w:eastAsia="zh-CN"/>
              </w:rPr>
              <w:t>4,</w:t>
            </w:r>
            <w:r>
              <w:rPr>
                <w:rFonts w:hint="eastAsia" w:ascii="宋体" w:hAnsi="宋体" w:eastAsia="宋体" w:cs="Times New Roman"/>
                <w:bCs/>
                <w:color w:val="000000" w:themeColor="text1"/>
                <w:sz w:val="21"/>
                <w:szCs w:val="21"/>
              </w:rPr>
              <w:t>在对供方评价进行检查时，发现 不能提供202</w:t>
            </w:r>
            <w:r>
              <w:rPr>
                <w:rFonts w:hint="eastAsia" w:ascii="宋体" w:hAnsi="宋体" w:eastAsia="宋体" w:cs="Times New Roman"/>
                <w:bCs/>
                <w:color w:val="000000" w:themeColor="text1"/>
                <w:sz w:val="21"/>
                <w:szCs w:val="21"/>
                <w:lang w:val="en-US" w:eastAsia="zh-CN"/>
              </w:rPr>
              <w:t>1</w:t>
            </w:r>
            <w:r>
              <w:rPr>
                <w:rFonts w:hint="eastAsia" w:ascii="宋体" w:hAnsi="宋体" w:eastAsia="宋体" w:cs="Times New Roman"/>
                <w:bCs/>
                <w:color w:val="000000" w:themeColor="text1"/>
                <w:sz w:val="21"/>
                <w:szCs w:val="21"/>
              </w:rPr>
              <w:t>年供方绩效评价记录，针对该不符合项，已及时采取纠正措施后，经内审员验证关闭。内审的有效性需要改善。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ascii="宋体" w:hAnsi="宋体"/>
                <w:b/>
                <w:color w:val="000000" w:themeColor="text1"/>
                <w:sz w:val="21"/>
                <w:szCs w:val="21"/>
              </w:rPr>
              <w:t>4.</w:t>
            </w:r>
            <w:r>
              <w:rPr>
                <w:rFonts w:hint="eastAsia" w:ascii="宋体" w:hAnsi="宋体"/>
                <w:b/>
                <w:color w:val="000000" w:themeColor="text1"/>
                <w:sz w:val="21"/>
                <w:szCs w:val="21"/>
              </w:rPr>
              <w:t>管理评审（管理评审体系变更需求，纠正和预防措施、体系有效性等）</w:t>
            </w:r>
          </w:p>
          <w:p>
            <w:pPr>
              <w:spacing w:line="240" w:lineRule="exact"/>
              <w:ind w:firstLine="422" w:firstLineChars="200"/>
              <w:rPr>
                <w:rFonts w:ascii="宋体" w:hAnsi="宋体"/>
                <w:b/>
                <w:color w:val="000000" w:themeColor="text1"/>
                <w:sz w:val="21"/>
                <w:szCs w:val="21"/>
              </w:rPr>
            </w:pPr>
            <w:r>
              <w:rPr>
                <w:rFonts w:hint="eastAsia" w:ascii="宋体" w:hAnsi="宋体"/>
                <w:b/>
                <w:color w:val="000000" w:themeColor="text1"/>
                <w:sz w:val="21"/>
                <w:szCs w:val="21"/>
              </w:rPr>
              <w:t>管</w:t>
            </w:r>
            <w:r>
              <w:rPr>
                <w:rFonts w:hint="eastAsia" w:ascii="宋体" w:hAnsi="宋体"/>
                <w:bCs/>
                <w:color w:val="000000" w:themeColor="text1"/>
                <w:sz w:val="21"/>
                <w:szCs w:val="21"/>
              </w:rPr>
              <w:t>理评审频次为一年一</w:t>
            </w:r>
            <w:r>
              <w:rPr>
                <w:rFonts w:hint="eastAsia" w:ascii="宋体" w:hAnsi="宋体" w:eastAsia="宋体" w:cs="Times New Roman"/>
                <w:bCs/>
                <w:color w:val="000000" w:themeColor="text1"/>
                <w:sz w:val="21"/>
                <w:szCs w:val="21"/>
              </w:rPr>
              <w:t>次、本次管理评审于20</w:t>
            </w:r>
            <w:r>
              <w:rPr>
                <w:rFonts w:hint="eastAsia" w:ascii="宋体" w:hAnsi="宋体" w:eastAsia="宋体" w:cs="Times New Roman"/>
                <w:bCs/>
                <w:color w:val="000000" w:themeColor="text1"/>
                <w:sz w:val="21"/>
                <w:szCs w:val="21"/>
                <w:lang w:val="en-US" w:eastAsia="zh-CN"/>
              </w:rPr>
              <w:t>21</w:t>
            </w:r>
            <w:r>
              <w:rPr>
                <w:rFonts w:hint="eastAsia" w:ascii="宋体" w:hAnsi="宋体" w:eastAsia="宋体" w:cs="Times New Roman"/>
                <w:bCs/>
                <w:color w:val="000000" w:themeColor="text1"/>
                <w:sz w:val="21"/>
                <w:szCs w:val="21"/>
              </w:rPr>
              <w:t>年</w:t>
            </w:r>
            <w:r>
              <w:rPr>
                <w:rFonts w:hint="eastAsia" w:ascii="宋体" w:hAnsi="宋体" w:eastAsia="宋体" w:cs="Times New Roman"/>
                <w:bCs/>
                <w:color w:val="000000" w:themeColor="text1"/>
                <w:sz w:val="21"/>
                <w:szCs w:val="21"/>
                <w:lang w:val="en-US" w:eastAsia="zh-CN"/>
              </w:rPr>
              <w:t>5</w:t>
            </w:r>
            <w:r>
              <w:rPr>
                <w:rFonts w:hint="eastAsia" w:ascii="宋体" w:hAnsi="宋体" w:eastAsia="宋体" w:cs="Times New Roman"/>
                <w:bCs/>
                <w:color w:val="000000" w:themeColor="text1"/>
                <w:sz w:val="21"/>
                <w:szCs w:val="21"/>
              </w:rPr>
              <w:t>月</w:t>
            </w:r>
            <w:r>
              <w:rPr>
                <w:rFonts w:hint="eastAsia" w:ascii="宋体" w:hAnsi="宋体" w:eastAsia="宋体" w:cs="Times New Roman"/>
                <w:bCs/>
                <w:color w:val="000000" w:themeColor="text1"/>
                <w:sz w:val="21"/>
                <w:szCs w:val="21"/>
                <w:lang w:val="en-US" w:eastAsia="zh-CN"/>
              </w:rPr>
              <w:t>2</w:t>
            </w:r>
            <w:r>
              <w:rPr>
                <w:rFonts w:hint="eastAsia" w:ascii="宋体" w:hAnsi="宋体" w:eastAsia="宋体" w:cs="Times New Roman"/>
                <w:bCs/>
                <w:color w:val="000000" w:themeColor="text1"/>
                <w:sz w:val="21"/>
                <w:szCs w:val="21"/>
              </w:rPr>
              <w:t>0日由总经理主持完成、提供主要输入材料有各部门总结，输入信息基</w:t>
            </w:r>
            <w:r>
              <w:rPr>
                <w:rFonts w:hint="eastAsia" w:ascii="宋体" w:hAnsi="宋体"/>
                <w:bCs/>
                <w:color w:val="000000" w:themeColor="text1"/>
                <w:sz w:val="21"/>
                <w:szCs w:val="21"/>
              </w:rPr>
              <w:t>本充分和满足要求。输出见“管理评审报告”, 做出了管理体系基本适宜、充分和有效的评审结论。管理评审的输出不具体，需要改善</w:t>
            </w:r>
            <w:r>
              <w:rPr>
                <w:rFonts w:hint="eastAsia" w:ascii="宋体" w:hAnsi="宋体"/>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rPr>
                <w:rFonts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Cs/>
                <w:sz w:val="21"/>
                <w:szCs w:val="21"/>
              </w:rPr>
            </w:pPr>
            <w:r>
              <w:rPr>
                <w:rFonts w:hint="eastAsia" w:ascii="宋体" w:hAnsi="宋体"/>
                <w:bCs/>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val="0"/>
                <w:bCs/>
                <w:sz w:val="21"/>
                <w:szCs w:val="21"/>
              </w:rPr>
            </w:pPr>
            <w:r>
              <w:rPr>
                <w:rFonts w:hint="eastAsia" w:ascii="宋体" w:hAnsi="宋体"/>
                <w:b w:val="0"/>
                <w:bCs/>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rPr>
                <w:rFonts w:ascii="宋体" w:hAnsi="宋体"/>
                <w:b/>
                <w:sz w:val="21"/>
                <w:szCs w:val="21"/>
              </w:rPr>
            </w:pPr>
            <w:r>
              <w:rPr>
                <w:rFonts w:hint="eastAsia" w:ascii="宋体" w:hAnsi="宋体"/>
                <w:b/>
                <w:sz w:val="21"/>
                <w:szCs w:val="21"/>
              </w:rPr>
              <w:t>上次审核不符合Q</w:t>
            </w:r>
            <w:r>
              <w:rPr>
                <w:rFonts w:hint="eastAsia" w:ascii="宋体" w:hAnsi="宋体"/>
                <w:b/>
                <w:sz w:val="21"/>
                <w:szCs w:val="21"/>
                <w:lang w:val="en-US" w:eastAsia="zh-CN"/>
              </w:rPr>
              <w:t>7.1.5</w:t>
            </w:r>
            <w:r>
              <w:rPr>
                <w:rFonts w:hint="eastAsia" w:ascii="宋体" w:hAnsi="宋体"/>
                <w:b/>
                <w:sz w:val="21"/>
                <w:szCs w:val="21"/>
              </w:rPr>
              <w:t>已完成整改并保持，整改有效</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sym w:font="Wingdings 2" w:char="0052"/>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342" w:firstLineChars="142"/>
        <w:rPr>
          <w:rFonts w:ascii="宋体" w:hAnsi="宋体"/>
          <w:b/>
          <w:color w:val="000000" w:themeColor="text1"/>
          <w:szCs w:val="21"/>
        </w:rPr>
      </w:pPr>
      <w:r>
        <w:rPr>
          <w:rFonts w:hint="eastAsia" w:ascii="宋体" w:hAnsi="宋体"/>
          <w:b/>
          <w:color w:val="000000" w:themeColor="text1"/>
          <w:szCs w:val="21"/>
        </w:rPr>
        <w:t>本次审核共开</w:t>
      </w:r>
      <w:r>
        <w:rPr>
          <w:rFonts w:hint="eastAsia" w:ascii="宋体" w:hAnsi="宋体" w:eastAsia="宋体" w:cs="Times New Roman"/>
          <w:b/>
          <w:color w:val="000000" w:themeColor="text1"/>
          <w:szCs w:val="21"/>
        </w:rPr>
        <w:t>具不符合项报告1项；其中</w:t>
      </w:r>
      <w:r>
        <w:rPr>
          <w:rFonts w:hint="eastAsia" w:ascii="宋体" w:hAnsi="宋体" w:eastAsia="宋体" w:cs="Times New Roman"/>
          <w:b/>
          <w:color w:val="000000" w:themeColor="text1"/>
          <w:szCs w:val="21"/>
        </w:rPr>
        <w:pict>
          <v:line id="直接连接符 1" o:spid="_x0000_s1030"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ascii="宋体" w:hAnsi="宋体" w:eastAsia="宋体" w:cs="Times New Roman"/>
          <w:b/>
          <w:color w:val="000000" w:themeColor="text1"/>
          <w:szCs w:val="21"/>
        </w:rPr>
        <w:t>严重不符合0项，一般不符合1项，观察项0项，分布在</w:t>
      </w:r>
      <w:r>
        <w:rPr>
          <w:rFonts w:hint="eastAsia" w:ascii="宋体" w:hAnsi="宋体" w:eastAsia="宋体" w:cs="Times New Roman"/>
          <w:b/>
          <w:color w:val="000000" w:themeColor="text1"/>
          <w:szCs w:val="21"/>
          <w:lang w:val="en-US" w:eastAsia="zh-CN"/>
        </w:rPr>
        <w:t>生产</w:t>
      </w:r>
      <w:r>
        <w:rPr>
          <w:rFonts w:hint="eastAsia" w:ascii="宋体" w:hAnsi="宋体" w:eastAsia="宋体" w:cs="Times New Roman"/>
          <w:b/>
          <w:color w:val="000000" w:themeColor="text1"/>
          <w:szCs w:val="21"/>
        </w:rPr>
        <w:t>部部门Q8.5.2条款</w:t>
      </w:r>
      <w:r>
        <w:rPr>
          <w:rFonts w:hint="eastAsia" w:ascii="宋体" w:hAnsi="宋体"/>
          <w:b/>
          <w:color w:val="000000" w:themeColor="text1"/>
          <w:szCs w:val="21"/>
        </w:rPr>
        <w:t>，见不符合项分布表。（</w:t>
      </w:r>
      <w:r>
        <w:rPr>
          <w:rFonts w:ascii="宋体" w:hAnsi="宋体"/>
          <w:b/>
          <w:color w:val="000000" w:themeColor="text1"/>
          <w:szCs w:val="21"/>
        </w:rPr>
        <w:t>Q/J/E/S</w:t>
      </w:r>
      <w:r>
        <w:rPr>
          <w:rFonts w:hint="eastAsia" w:ascii="宋体" w:hAnsi="宋体"/>
          <w:b/>
          <w:color w:val="000000" w:themeColor="text1"/>
          <w:szCs w:val="21"/>
        </w:rPr>
        <w:t>分开填写）</w:t>
      </w:r>
    </w:p>
    <w:p>
      <w:pPr>
        <w:tabs>
          <w:tab w:val="left" w:pos="645"/>
        </w:tabs>
        <w:spacing w:afterLines="50" w:line="360" w:lineRule="exact"/>
        <w:rPr>
          <w:b/>
          <w:color w:val="000000" w:themeColor="text1"/>
          <w:sz w:val="16"/>
          <w:szCs w:val="16"/>
        </w:rPr>
      </w:pPr>
      <w:r>
        <w:rPr>
          <w:rFonts w:hint="eastAsia"/>
          <w:b/>
          <w:color w:val="000000" w:themeColor="text1"/>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lang w:val="en-US" w:eastAsia="zh-CN"/>
        </w:rPr>
        <w:t xml:space="preserve"> </w:t>
      </w:r>
      <w:r>
        <w:rPr>
          <w:rFonts w:hint="eastAsia"/>
          <w:b/>
          <w:sz w:val="21"/>
          <w:u w:val="single"/>
          <w:lang w:val="en-US" w:eastAsia="zh-CN"/>
        </w:rPr>
        <w:t xml:space="preserve"> 60  </w:t>
      </w:r>
      <w:r>
        <w:rPr>
          <w:rFonts w:hint="eastAsia"/>
          <w:b/>
          <w:sz w:val="21"/>
          <w:lang w:val="en-US" w:eastAsia="zh-CN"/>
        </w:rPr>
        <w:t xml:space="preserve"> </w:t>
      </w:r>
      <w:r>
        <w:rPr>
          <w:rFonts w:hint="eastAsia"/>
          <w:b/>
          <w:sz w:val="21"/>
        </w:rPr>
        <w:t>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1"/>
        </w:rPr>
        <w:drawing>
          <wp:anchor distT="0" distB="0" distL="114300" distR="114300" simplePos="0" relativeHeight="251666432" behindDoc="0" locked="0" layoutInCell="1" allowOverlap="1">
            <wp:simplePos x="0" y="0"/>
            <wp:positionH relativeFrom="column">
              <wp:posOffset>1684020</wp:posOffset>
            </wp:positionH>
            <wp:positionV relativeFrom="paragraph">
              <wp:posOffset>277495</wp:posOffset>
            </wp:positionV>
            <wp:extent cx="420370" cy="321945"/>
            <wp:effectExtent l="0" t="0" r="6350" b="13335"/>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drawing>
          <wp:anchor distT="0" distB="0" distL="114300" distR="114300" simplePos="0" relativeHeight="251665408" behindDoc="0" locked="0" layoutInCell="1" allowOverlap="1">
            <wp:simplePos x="0" y="0"/>
            <wp:positionH relativeFrom="column">
              <wp:posOffset>1760220</wp:posOffset>
            </wp:positionH>
            <wp:positionV relativeFrom="paragraph">
              <wp:posOffset>72390</wp:posOffset>
            </wp:positionV>
            <wp:extent cx="420370" cy="321945"/>
            <wp:effectExtent l="19050" t="0" r="0" b="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b/>
          <w:sz w:val="21"/>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06</w:t>
      </w:r>
      <w:r>
        <w:rPr>
          <w:rFonts w:hint="eastAsia"/>
          <w:b/>
          <w:sz w:val="21"/>
        </w:rPr>
        <w:t>月</w:t>
      </w:r>
      <w:r>
        <w:rPr>
          <w:rFonts w:hint="eastAsia"/>
          <w:b/>
          <w:sz w:val="21"/>
          <w:lang w:val="en-US" w:eastAsia="zh-CN"/>
        </w:rPr>
        <w:t>15</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Cs w:val="21"/>
        </w:rPr>
        <w:t xml:space="preserve">☑  </w:t>
      </w:r>
      <w:r>
        <w:rPr>
          <w:b/>
          <w:sz w:val="21"/>
          <w:szCs w:val="21"/>
        </w:rPr>
        <w:t>QMS (</w:t>
      </w:r>
      <w:r>
        <w:rPr>
          <w:rFonts w:hint="eastAsia"/>
          <w:b/>
          <w:sz w:val="21"/>
          <w:szCs w:val="21"/>
        </w:rPr>
        <w:t xml:space="preserve">  1  </w:t>
      </w:r>
      <w:r>
        <w:rPr>
          <w:b/>
          <w:sz w:val="21"/>
          <w:szCs w:val="21"/>
        </w:rPr>
        <w:t>)</w:t>
      </w:r>
      <w:r>
        <w:rPr>
          <w:rFonts w:hint="eastAsia"/>
          <w:b/>
          <w:sz w:val="21"/>
          <w:szCs w:val="21"/>
        </w:rPr>
        <w:t>个一般不符合，</w:t>
      </w:r>
      <w:r>
        <w:rPr>
          <w:b/>
          <w:sz w:val="21"/>
          <w:szCs w:val="21"/>
        </w:rPr>
        <w:t>(</w:t>
      </w:r>
      <w:r>
        <w:rPr>
          <w:rFonts w:hint="eastAsia"/>
          <w:b/>
          <w:sz w:val="21"/>
          <w:szCs w:val="21"/>
        </w:rPr>
        <w:t xml:space="preserve"> 0  </w:t>
      </w:r>
      <w:r>
        <w:rPr>
          <w:b/>
          <w:sz w:val="21"/>
          <w:szCs w:val="21"/>
        </w:rPr>
        <w:t>)</w:t>
      </w:r>
      <w:r>
        <w:rPr>
          <w:rFonts w:hint="eastAsia"/>
          <w:b/>
          <w:sz w:val="21"/>
          <w:szCs w:val="21"/>
        </w:rPr>
        <w:t>个严重不符合，</w:t>
      </w:r>
      <w:r>
        <w:rPr>
          <w:rFonts w:hint="eastAsia" w:ascii="宋体" w:hAnsi="宋体"/>
          <w:b/>
          <w:szCs w:val="21"/>
        </w:rPr>
        <w:t xml:space="preserve">☑  </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rPr>
      </w:pPr>
    </w:p>
    <w:p>
      <w:pPr>
        <w:spacing w:beforeLines="50" w:line="400" w:lineRule="exact"/>
        <w:ind w:firstLine="632" w:firstLineChars="300"/>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2168" w:firstLineChars="900"/>
        <w:rPr>
          <w:b/>
          <w:sz w:val="21"/>
          <w:szCs w:val="21"/>
        </w:rPr>
      </w:pPr>
      <w:r>
        <w:rPr>
          <w:rFonts w:hint="eastAsia" w:ascii="宋体" w:hAnsi="宋体"/>
          <w:b/>
          <w:szCs w:val="21"/>
        </w:rPr>
        <w:t xml:space="preserve">☑ </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rFonts w:hint="default" w:eastAsia="宋体"/>
          <w:b/>
          <w:sz w:val="21"/>
          <w:szCs w:val="21"/>
          <w:u w:val="single"/>
          <w:lang w:val="en-US" w:eastAsia="zh-CN"/>
        </w:rPr>
      </w:pPr>
      <w:r>
        <w:rPr>
          <w:rFonts w:hint="eastAsia"/>
          <w:b/>
          <w:sz w:val="21"/>
        </w:rPr>
        <w:drawing>
          <wp:anchor distT="0" distB="0" distL="114300" distR="114300" simplePos="0" relativeHeight="251667456" behindDoc="0" locked="0" layoutInCell="1" allowOverlap="1">
            <wp:simplePos x="0" y="0"/>
            <wp:positionH relativeFrom="column">
              <wp:posOffset>1142365</wp:posOffset>
            </wp:positionH>
            <wp:positionV relativeFrom="paragraph">
              <wp:posOffset>20955</wp:posOffset>
            </wp:positionV>
            <wp:extent cx="420370" cy="321945"/>
            <wp:effectExtent l="0" t="0" r="6350" b="13335"/>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hint="eastAsia"/>
          <w:b/>
          <w:sz w:val="21"/>
          <w:szCs w:val="21"/>
        </w:rPr>
        <w:t xml:space="preserve">组长签字：                      日期：   </w:t>
      </w:r>
      <w:r>
        <w:rPr>
          <w:rFonts w:hint="eastAsia"/>
          <w:b/>
          <w:sz w:val="21"/>
          <w:szCs w:val="21"/>
          <w:lang w:val="en-US" w:eastAsia="zh-CN"/>
        </w:rPr>
        <w:t>2021年6月17日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tabs>
          <w:tab w:val="left" w:pos="645"/>
        </w:tabs>
        <w:spacing w:afterLines="50" w:line="360" w:lineRule="exact"/>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EDD84"/>
    <w:multiLevelType w:val="singleLevel"/>
    <w:tmpl w:val="8F5EDD84"/>
    <w:lvl w:ilvl="0" w:tentative="0">
      <w:start w:val="2"/>
      <w:numFmt w:val="decimal"/>
      <w:lvlText w:val="%1."/>
      <w:lvlJc w:val="left"/>
      <w:pPr>
        <w:tabs>
          <w:tab w:val="left" w:pos="312"/>
        </w:tabs>
      </w:pPr>
    </w:lvl>
  </w:abstractNum>
  <w:abstractNum w:abstractNumId="1">
    <w:nsid w:val="B3704A97"/>
    <w:multiLevelType w:val="singleLevel"/>
    <w:tmpl w:val="B3704A97"/>
    <w:lvl w:ilvl="0" w:tentative="0">
      <w:start w:val="2"/>
      <w:numFmt w:val="decimal"/>
      <w:suff w:val="nothing"/>
      <w:lvlText w:val="%1、"/>
      <w:lvlJc w:val="left"/>
    </w:lvl>
  </w:abstractNum>
  <w:abstractNum w:abstractNumId="2">
    <w:nsid w:val="FFE6502E"/>
    <w:multiLevelType w:val="singleLevel"/>
    <w:tmpl w:val="FFE6502E"/>
    <w:lvl w:ilvl="0" w:tentative="0">
      <w:start w:val="8"/>
      <w:numFmt w:val="decimal"/>
      <w:suff w:val="space"/>
      <w:lvlText w:val="%1."/>
      <w:lvlJc w:val="left"/>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0E0F4F35"/>
    <w:multiLevelType w:val="singleLevel"/>
    <w:tmpl w:val="0E0F4F35"/>
    <w:lvl w:ilvl="0" w:tentative="0">
      <w:start w:val="3"/>
      <w:numFmt w:val="decimal"/>
      <w:lvlText w:val="%1."/>
      <w:lvlJc w:val="left"/>
      <w:pPr>
        <w:tabs>
          <w:tab w:val="left" w:pos="312"/>
        </w:tabs>
      </w:p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6969"/>
    <w:rsid w:val="00136969"/>
    <w:rsid w:val="002256A6"/>
    <w:rsid w:val="00261E06"/>
    <w:rsid w:val="002B1980"/>
    <w:rsid w:val="008A0622"/>
    <w:rsid w:val="00B43D5F"/>
    <w:rsid w:val="00C369C2"/>
    <w:rsid w:val="00D741BA"/>
    <w:rsid w:val="00D93927"/>
    <w:rsid w:val="00FF4F0C"/>
    <w:rsid w:val="11B1791B"/>
    <w:rsid w:val="27347786"/>
    <w:rsid w:val="3A9F64FC"/>
    <w:rsid w:val="59D64A85"/>
    <w:rsid w:val="6CF15148"/>
    <w:rsid w:val="741A51BF"/>
    <w:rsid w:val="755F41D5"/>
    <w:rsid w:val="7AFF3676"/>
    <w:rsid w:val="7E06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unhideWhenUsed/>
    <w:qFormat/>
    <w:uiPriority w:val="99"/>
    <w:rPr>
      <w:color w:val="000000"/>
      <w:kern w:val="0"/>
      <w:szCs w:val="24"/>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2"/>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1322</Words>
  <Characters>7542</Characters>
  <Lines>62</Lines>
  <Paragraphs>17</Paragraphs>
  <TotalTime>7</TotalTime>
  <ScaleCrop>false</ScaleCrop>
  <LinksUpToDate>false</LinksUpToDate>
  <CharactersWithSpaces>8847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2021-06-15T07:33:01Z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7103E7215E804FE79579E1DB29E6D157</vt:lpwstr>
  </property>
</Properties>
</file>