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重庆建恒车科技有限公司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黄兵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查见适用的法律法规和其它要求清单中未识别《中华人民共和国民法典》，不符合标准6.1.3条款，组织应保持其合规化义务的文件化信息。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2955925</wp:posOffset>
                  </wp:positionH>
                  <wp:positionV relativeFrom="paragraph">
                    <wp:posOffset>48895</wp:posOffset>
                  </wp:positionV>
                  <wp:extent cx="306705" cy="284480"/>
                  <wp:effectExtent l="0" t="0" r="10795" b="7620"/>
                  <wp:wrapNone/>
                  <wp:docPr id="5" name="图片 5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1031240</wp:posOffset>
                  </wp:positionH>
                  <wp:positionV relativeFrom="paragraph">
                    <wp:posOffset>22225</wp:posOffset>
                  </wp:positionV>
                  <wp:extent cx="368935" cy="259080"/>
                  <wp:effectExtent l="0" t="0" r="12065" b="8255"/>
                  <wp:wrapNone/>
                  <wp:docPr id="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3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32385</wp:posOffset>
                  </wp:positionV>
                  <wp:extent cx="306705" cy="284480"/>
                  <wp:effectExtent l="0" t="0" r="10795" b="7620"/>
                  <wp:wrapNone/>
                  <wp:docPr id="7" name="图片 7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2021.06.18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2021.06.18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2021.06.18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A55E4A"/>
    <w:rsid w:val="5BF1599A"/>
    <w:rsid w:val="6B0575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2021-06-18T02:53:50Z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