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重庆建恒车科技有限公司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E:29.03.01</w:t>
            </w:r>
          </w:p>
          <w:p>
            <w:pPr>
              <w:spacing w:line="240" w:lineRule="exact"/>
              <w:jc w:val="center"/>
              <w:rPr>
                <w:b/>
                <w:color w:val="000000" w:themeColor="text1"/>
                <w:sz w:val="20"/>
                <w:szCs w:val="20"/>
              </w:rPr>
            </w:pPr>
            <w:r>
              <w:rPr>
                <w:b/>
                <w:color w:val="000000" w:themeColor="text1"/>
                <w:sz w:val="20"/>
                <w:szCs w:val="20"/>
              </w:rPr>
              <w:t>O:29.03.01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24001-2016/ISO14001:2015,O：GB/T45001-2020 / ISO45001：2018</w:t>
      </w:r>
      <w:bookmarkEnd w:id="4"/>
      <w:r>
        <w:rPr>
          <w:rFonts w:hint="eastAsia" w:ascii="宋体" w:hAnsi="宋体"/>
          <w:b/>
          <w:color w:val="000000" w:themeColor="text1"/>
          <w:sz w:val="26"/>
          <w:szCs w:val="26"/>
        </w:rPr>
        <w:t>四、受审核方基本信息</w:t>
      </w:r>
    </w:p>
    <w:tbl>
      <w:tblPr>
        <w:tblStyle w:val="8"/>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重庆建恒车科技有限公司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重庆市沙坪坝区下中渡口130号7号楼第三层2-80号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400300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重庆市北碚区歇马镇卫星村沙湾组40号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400712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卓雅利</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15923166719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黄兵</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黄兵</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卓雅利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E：汽车配件（金属支架、衬套）的销售所涉及场所的相关环境管理活动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O：汽车配件（金属支架、衬套）的销售所涉及场所的相关职业健康安全管理活动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E：29.03.01</w:t>
            </w:r>
          </w:p>
          <w:p>
            <w:pPr>
              <w:spacing w:line="320" w:lineRule="exact"/>
              <w:rPr>
                <w:rFonts w:ascii="宋体" w:hAnsi="宋体"/>
                <w:b/>
                <w:color w:val="000000" w:themeColor="text1"/>
                <w:sz w:val="20"/>
                <w:szCs w:val="20"/>
              </w:rPr>
            </w:pPr>
            <w:r>
              <w:rPr>
                <w:rFonts w:ascii="宋体" w:hAnsi="宋体"/>
                <w:b/>
                <w:color w:val="000000" w:themeColor="text1"/>
                <w:sz w:val="20"/>
                <w:szCs w:val="20"/>
              </w:rPr>
              <w:t>O：29.03.01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供销部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不合格品控制；纠正和预防措施控制；策划管理；产品验收管理；服务过程管理；合同管理；采购管理；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bCs/>
          <w:color w:val="000000"/>
          <w:szCs w:val="21"/>
        </w:rPr>
        <w:t>2021年06月13日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eastAsia="宋体" w:cs="宋体"/>
          <w:b/>
          <w:color w:val="000000" w:themeColor="text1"/>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Times New Roman" w:hAnsi="Times New Roman" w:cs="Times New Roman"/>
                <w:szCs w:val="22"/>
              </w:rPr>
              <w:t>环境职业健康安全方针为：保障安全  预防污染  遵守法规  持续改进</w:t>
            </w:r>
            <w:r>
              <w:rPr>
                <w:rFonts w:hint="eastAsia" w:ascii="Times New Roman" w:hAnsi="Times New Roman" w:cs="Times New Roman"/>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72582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72480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lang w:eastAsia="zh-CN"/>
              </w:rPr>
              <w:t>固废的排放</w:t>
            </w:r>
            <w:r>
              <w:rPr>
                <w:rFonts w:hint="eastAsia" w:asciiTheme="minorEastAsia" w:hAnsiTheme="minorEastAsia" w:eastAsiaTheme="minorEastAsia"/>
                <w:bCs/>
                <w:iCs/>
              </w:rPr>
              <w:t>、潜在火灾的应急预案等。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p>
          <w:p>
            <w:pPr>
              <w:ind w:firstLine="525" w:firstLineChars="250"/>
              <w:rPr>
                <w:color w:val="000000"/>
                <w:szCs w:val="21"/>
              </w:rPr>
            </w:pPr>
            <w:r>
              <w:rPr>
                <w:rFonts w:hint="eastAsia"/>
                <w:color w:val="000000"/>
                <w:szCs w:val="21"/>
              </w:rPr>
              <w:t>环境、职业健康安全目标：</w:t>
            </w:r>
          </w:p>
          <w:p>
            <w:pPr>
              <w:spacing w:line="300" w:lineRule="exact"/>
              <w:ind w:firstLine="420" w:firstLineChars="200"/>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1、固废处置率100%                实测：100%</w:t>
            </w:r>
          </w:p>
          <w:p>
            <w:pPr>
              <w:spacing w:line="300" w:lineRule="exact"/>
              <w:ind w:firstLine="420" w:firstLineChars="200"/>
              <w:rPr>
                <w:rFonts w:hint="default" w:ascii="宋体" w:hAnsi="宋体"/>
                <w:b/>
                <w:color w:val="000000" w:themeColor="text1"/>
                <w:lang w:val="en-US"/>
              </w:rPr>
            </w:pPr>
            <w:r>
              <w:rPr>
                <w:rFonts w:hint="eastAsia" w:ascii="宋体" w:hAnsi="宋体" w:eastAsia="宋体" w:cs="宋体"/>
                <w:color w:val="000000"/>
                <w:kern w:val="0"/>
                <w:szCs w:val="21"/>
                <w:lang w:val="en-US" w:eastAsia="zh-CN"/>
              </w:rPr>
              <w:t>2、火灾、环境污染事件为零         实测：零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202</w:t>
            </w:r>
            <w:r>
              <w:rPr>
                <w:rFonts w:hint="eastAsia" w:ascii="宋体" w:hAnsi="宋体" w:cs="Arial"/>
                <w:color w:val="000000" w:themeColor="text1"/>
                <w:lang w:val="en-US" w:eastAsia="zh-CN"/>
              </w:rPr>
              <w:t>1</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汽车配件（金属支架、衬套）的销售</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0" w:lineRule="atLeast"/>
              <w:jc w:val="lef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szCs w:val="21"/>
              </w:rPr>
              <w:t>办公场所</w:t>
            </w:r>
            <w:r>
              <w:rPr>
                <w:rFonts w:hint="eastAsia" w:ascii="宋体" w:hAnsi="宋体" w:cs="宋体"/>
                <w:szCs w:val="21"/>
              </w:rPr>
              <w:t>面积</w:t>
            </w:r>
            <w:r>
              <w:rPr>
                <w:rFonts w:hint="eastAsia" w:ascii="宋体" w:hAnsi="宋体" w:cs="宋体"/>
                <w:szCs w:val="21"/>
                <w:lang w:val="en-US" w:eastAsia="zh-CN"/>
              </w:rPr>
              <w:t>100</w:t>
            </w:r>
            <w:r>
              <w:rPr>
                <w:rFonts w:hint="eastAsia" w:ascii="宋体" w:hAnsi="宋体" w:cs="宋体"/>
                <w:szCs w:val="21"/>
              </w:rPr>
              <w:t>平方左右</w:t>
            </w:r>
            <w:r>
              <w:rPr>
                <w:rFonts w:hint="eastAsia" w:ascii="宋体" w:hAnsi="宋体" w:cs="宋体"/>
                <w:szCs w:val="21"/>
                <w:lang w:eastAsia="zh-CN"/>
              </w:rPr>
              <w:t>，</w:t>
            </w:r>
            <w:r>
              <w:rPr>
                <w:rFonts w:hint="eastAsia" w:ascii="宋体" w:hAnsi="宋体" w:cs="宋体"/>
                <w:szCs w:val="21"/>
                <w:lang w:val="en-US" w:eastAsia="zh-CN"/>
              </w:rPr>
              <w:t>未设库房</w:t>
            </w:r>
            <w:r>
              <w:rPr>
                <w:rFonts w:hint="eastAsia" w:ascii="宋体" w:hAnsi="宋体" w:cs="宋体"/>
                <w:szCs w:val="21"/>
              </w:rPr>
              <w:t>。主要设备包括电脑、打印机等办公设备设备，可以满足</w:t>
            </w:r>
            <w:r>
              <w:rPr>
                <w:rFonts w:hint="eastAsia" w:ascii="宋体" w:hAnsi="宋体" w:cs="宋体"/>
                <w:szCs w:val="21"/>
                <w:lang w:eastAsia="zh-CN"/>
              </w:rPr>
              <w:t>汽车配件（金属支架、衬套）的销售</w:t>
            </w:r>
            <w:r>
              <w:rPr>
                <w:rFonts w:hint="eastAsia" w:ascii="宋体" w:hAnsi="宋体" w:cs="宋体"/>
                <w:szCs w:val="21"/>
              </w:rPr>
              <w:t>的需要。对设备按月方式进行点检维护保养，并实施。特种设备：无。公司未建立信息管理系统用于生产和服务。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办公、生产服务场所和内设备布置合理，通道畅通，照明设施齐全，均配备了消防设施等设施。办公室明亮，培训场所光线较充足。每月由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pPr>
            <w:r>
              <w:rPr>
                <w:rFonts w:hint="eastAsia"/>
              </w:rPr>
              <w:t>监视和测量资源</w:t>
            </w:r>
          </w:p>
          <w:p>
            <w:pPr>
              <w:pStyle w:val="3"/>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lang w:eastAsia="zh-CN"/>
              </w:rPr>
              <w:t>固废的排放</w:t>
            </w:r>
            <w:r>
              <w:rPr>
                <w:rFonts w:hint="eastAsia" w:asciiTheme="minorEastAsia" w:hAnsiTheme="minorEastAsia" w:eastAsiaTheme="minorEastAsia"/>
                <w:bCs/>
                <w:iCs/>
              </w:rPr>
              <w:t>、潜在火灾的应急预案等。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组织建立了危险源识别、评价控制程序，识别评价了危险源、风险相关的过程，评价出了重要危险源（火灾、</w:t>
            </w:r>
            <w:r>
              <w:rPr>
                <w:rFonts w:hint="eastAsia" w:asciiTheme="minorEastAsia" w:hAnsiTheme="minorEastAsia" w:eastAsiaTheme="minorEastAsia"/>
                <w:bCs/>
                <w:iCs/>
                <w:lang w:val="en-US" w:eastAsia="zh-CN"/>
              </w:rPr>
              <w:t>中暑</w:t>
            </w:r>
            <w:r>
              <w:rPr>
                <w:rFonts w:hint="eastAsia" w:asciiTheme="minorEastAsia" w:hAnsiTheme="minorEastAsia" w:eastAsiaTheme="minorEastAsia"/>
                <w:bCs/>
                <w:iCs/>
              </w:rPr>
              <w:t>等），与之相关的过程有销售过程，针对不可接受风险制定了管理方案。控制措施实施有效。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w:t>
            </w:r>
            <w:r>
              <w:rPr>
                <w:rFonts w:hint="eastAsia" w:ascii="宋体" w:hAnsi="宋体" w:cs="宋体"/>
                <w:color w:val="000000"/>
                <w:szCs w:val="21"/>
                <w:lang w:val="en-US" w:eastAsia="zh-CN"/>
              </w:rPr>
              <w:t>管理</w:t>
            </w:r>
            <w:r>
              <w:rPr>
                <w:rFonts w:hint="eastAsia" w:ascii="宋体" w:hAnsi="宋体" w:cs="宋体"/>
                <w:color w:val="000000"/>
                <w:szCs w:val="21"/>
              </w:rPr>
              <w:t>目标得到沟通和监视评价，通过数据的汇总统计、描述性统计等方法对目标进行了测量，总体已达到或超过了规定的目</w:t>
            </w:r>
            <w:r>
              <w:rPr>
                <w:rFonts w:hint="eastAsia" w:ascii="宋体" w:hAnsi="宋体" w:cs="宋体"/>
                <w:color w:val="000000"/>
                <w:szCs w:val="21"/>
                <w:highlight w:val="none"/>
              </w:rPr>
              <w:t>标值。通</w:t>
            </w:r>
            <w:r>
              <w:rPr>
                <w:rFonts w:hint="eastAsia" w:ascii="宋体" w:hAnsi="宋体" w:cs="宋体"/>
                <w:szCs w:val="21"/>
                <w:highlight w:val="none"/>
              </w:rPr>
              <w:t>过202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1月</w:t>
            </w:r>
            <w:r>
              <w:rPr>
                <w:rFonts w:hint="eastAsia" w:ascii="宋体" w:hAnsi="宋体" w:cs="宋体"/>
                <w:szCs w:val="21"/>
                <w:highlight w:val="none"/>
              </w:rPr>
              <w:t>-</w:t>
            </w:r>
            <w:r>
              <w:rPr>
                <w:rFonts w:hint="eastAsia" w:ascii="宋体" w:hAnsi="宋体" w:cs="宋体"/>
                <w:szCs w:val="21"/>
                <w:highlight w:val="none"/>
                <w:lang w:val="en-US" w:eastAsia="zh-CN"/>
              </w:rPr>
              <w:t>2021年5</w:t>
            </w:r>
            <w:r>
              <w:rPr>
                <w:rFonts w:hint="eastAsia" w:ascii="宋体" w:hAnsi="宋体" w:cs="宋体"/>
                <w:szCs w:val="21"/>
                <w:highlight w:val="none"/>
              </w:rPr>
              <w:t>月目</w:t>
            </w:r>
            <w:r>
              <w:rPr>
                <w:rFonts w:hint="eastAsia" w:ascii="宋体" w:hAnsi="宋体" w:cs="宋体"/>
                <w:color w:val="000000"/>
                <w:szCs w:val="21"/>
                <w:highlight w:val="none"/>
              </w:rPr>
              <w:t>标</w:t>
            </w:r>
            <w:r>
              <w:rPr>
                <w:rFonts w:hint="eastAsia" w:ascii="宋体" w:hAnsi="宋体" w:cs="宋体"/>
                <w:color w:val="000000"/>
                <w:szCs w:val="21"/>
              </w:rPr>
              <w:t>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建立有《内部审核控制程序》，规定了内审频次一年一次，内审时间：2021年5月20日，拟定了审核实施表，明确了内审范围，内审人员经培训合格上岗，能力满足要求，未出现审核本部门情况，内审不符合项</w:t>
            </w:r>
            <w:r>
              <w:rPr>
                <w:rFonts w:hint="eastAsia" w:ascii="宋体" w:hAnsi="宋体" w:cs="宋体"/>
                <w:szCs w:val="21"/>
                <w:lang w:val="en-US" w:eastAsia="zh-CN"/>
              </w:rPr>
              <w:t>2</w:t>
            </w:r>
            <w:r>
              <w:rPr>
                <w:rFonts w:hint="eastAsia" w:ascii="宋体" w:hAnsi="宋体" w:cs="宋体"/>
                <w:szCs w:val="21"/>
              </w:rPr>
              <w:t>份，</w:t>
            </w:r>
            <w:r>
              <w:rPr>
                <w:rFonts w:hint="eastAsia" w:ascii="宋体" w:hAnsi="宋体" w:cs="宋体"/>
                <w:szCs w:val="21"/>
                <w:lang w:val="en-US" w:eastAsia="zh-CN"/>
              </w:rPr>
              <w:t>1）</w:t>
            </w:r>
            <w:r>
              <w:rPr>
                <w:rFonts w:hint="eastAsia" w:ascii="宋体" w:hAnsi="宋体" w:cs="宋体"/>
                <w:szCs w:val="21"/>
              </w:rPr>
              <w:t>涉及</w:t>
            </w:r>
            <w:r>
              <w:rPr>
                <w:rFonts w:hint="eastAsia" w:ascii="宋体" w:hAnsi="宋体" w:cs="宋体"/>
                <w:szCs w:val="21"/>
                <w:lang w:val="en-US" w:eastAsia="zh-CN"/>
              </w:rPr>
              <w:t>供销</w:t>
            </w:r>
            <w:r>
              <w:rPr>
                <w:rFonts w:hint="eastAsia" w:ascii="宋体" w:hAnsi="宋体" w:cs="宋体"/>
                <w:szCs w:val="21"/>
              </w:rPr>
              <w:t>部E</w:t>
            </w:r>
            <w:r>
              <w:rPr>
                <w:rFonts w:hint="eastAsia" w:ascii="宋体" w:hAnsi="宋体" w:cs="宋体"/>
                <w:szCs w:val="21"/>
                <w:lang w:val="en-US" w:eastAsia="zh-CN"/>
              </w:rPr>
              <w:t>/</w:t>
            </w:r>
            <w:r>
              <w:rPr>
                <w:rFonts w:hint="eastAsia" w:ascii="宋体" w:hAnsi="宋体" w:cs="宋体"/>
                <w:szCs w:val="21"/>
              </w:rPr>
              <w:t>S</w:t>
            </w:r>
            <w:r>
              <w:rPr>
                <w:rFonts w:hint="eastAsia" w:ascii="宋体" w:hAnsi="宋体" w:cs="宋体"/>
                <w:szCs w:val="21"/>
                <w:lang w:val="en-US" w:eastAsia="zh-CN"/>
              </w:rPr>
              <w:t>5.3，不符合描述“</w:t>
            </w:r>
            <w:r>
              <w:rPr>
                <w:rFonts w:hint="eastAsia" w:ascii="宋体" w:hAnsi="宋体" w:cs="宋体"/>
                <w:szCs w:val="21"/>
              </w:rPr>
              <w:t>抽查主管人员,不熟悉环境职责</w:t>
            </w: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rPr>
              <w:t>涉及</w:t>
            </w:r>
            <w:r>
              <w:rPr>
                <w:rFonts w:hint="eastAsia" w:ascii="宋体" w:hAnsi="宋体" w:cs="宋体"/>
                <w:szCs w:val="21"/>
                <w:lang w:val="en-US" w:eastAsia="zh-CN"/>
              </w:rPr>
              <w:t>行政</w:t>
            </w:r>
            <w:r>
              <w:rPr>
                <w:rFonts w:hint="eastAsia" w:ascii="宋体" w:hAnsi="宋体" w:cs="宋体"/>
                <w:szCs w:val="21"/>
              </w:rPr>
              <w:t>部E</w:t>
            </w:r>
            <w:r>
              <w:rPr>
                <w:rFonts w:hint="eastAsia" w:ascii="宋体" w:hAnsi="宋体" w:cs="宋体"/>
                <w:szCs w:val="21"/>
                <w:lang w:val="en-US" w:eastAsia="zh-CN"/>
              </w:rPr>
              <w:t>/</w:t>
            </w:r>
            <w:r>
              <w:rPr>
                <w:rFonts w:hint="eastAsia" w:ascii="宋体" w:hAnsi="宋体" w:cs="宋体"/>
                <w:szCs w:val="21"/>
              </w:rPr>
              <w:t>S</w:t>
            </w:r>
            <w:r>
              <w:rPr>
                <w:rFonts w:hint="eastAsia" w:ascii="宋体" w:hAnsi="宋体" w:cs="宋体"/>
                <w:szCs w:val="21"/>
                <w:lang w:val="en-US" w:eastAsia="zh-CN"/>
              </w:rPr>
              <w:t>6.2，不符合描述“</w:t>
            </w:r>
            <w:r>
              <w:rPr>
                <w:rFonts w:hint="eastAsia" w:ascii="宋体" w:hAnsi="宋体" w:cs="宋体"/>
                <w:szCs w:val="21"/>
              </w:rPr>
              <w:t>不能提供本部门环境目标指标策划证据</w:t>
            </w:r>
            <w:r>
              <w:rPr>
                <w:rFonts w:hint="eastAsia" w:ascii="宋体" w:hAnsi="宋体" w:cs="宋体"/>
                <w:szCs w:val="21"/>
                <w:lang w:eastAsia="zh-CN"/>
              </w:rPr>
              <w:t>”。</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年0</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5"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000000" w:themeColor="text1"/>
          <w:sz w:val="20"/>
          <w:highlight w:val="none"/>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项分布在</w:t>
      </w:r>
      <w:r>
        <w:rPr>
          <w:rFonts w:hint="eastAsia"/>
          <w:b/>
          <w:color w:val="000000" w:themeColor="text1"/>
          <w:highlight w:val="none"/>
          <w:lang w:val="en-US" w:eastAsia="zh-CN"/>
        </w:rPr>
        <w:t>行政部</w:t>
      </w:r>
      <w:r>
        <w:rPr>
          <w:rFonts w:hint="eastAsia"/>
          <w:b/>
          <w:color w:val="000000" w:themeColor="text1"/>
          <w:highlight w:val="none"/>
        </w:rPr>
        <w:t>部门</w:t>
      </w:r>
      <w:r>
        <w:rPr>
          <w:rFonts w:hint="eastAsia"/>
          <w:b/>
          <w:color w:val="000000" w:themeColor="text1"/>
          <w:highlight w:val="none"/>
          <w:lang w:val="en-US" w:eastAsia="zh-CN"/>
        </w:rPr>
        <w:t>ES6.1.3</w:t>
      </w:r>
      <w:r>
        <w:rPr>
          <w:rFonts w:hint="eastAsia"/>
          <w:b/>
          <w:color w:val="000000" w:themeColor="text1"/>
          <w:highlight w:val="none"/>
        </w:rPr>
        <w:t>条款，分布见附件。（Q/J/E/S分开填写）</w:t>
      </w:r>
      <w:bookmarkStart w:id="22" w:name="_GoBack"/>
      <w:bookmarkEnd w:id="22"/>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eastAsia="宋体" w:cs="宋体"/>
          <w:b/>
          <w:color w:val="000000" w:themeColor="text1"/>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ascii="宋体" w:hAnsi="宋体" w:eastAsia="宋体" w:cs="宋体"/>
                <w:b/>
                <w:color w:val="000000" w:themeColor="text1"/>
                <w:spacing w:val="-10"/>
                <w:szCs w:val="21"/>
              </w:rPr>
              <w:t>■</w:t>
            </w:r>
            <w:r>
              <w:rPr>
                <w:rFonts w:hint="eastAsia"/>
                <w:b/>
                <w:color w:val="000000" w:themeColor="text1"/>
                <w:sz w:val="22"/>
                <w:szCs w:val="22"/>
              </w:rPr>
              <w:t xml:space="preserve">EMS  </w:t>
            </w:r>
            <w:r>
              <w:rPr>
                <w:rFonts w:hint="eastAsia" w:ascii="宋体" w:hAnsi="宋体" w:eastAsia="宋体" w:cs="宋体"/>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ascii="宋体" w:hAnsi="宋体" w:eastAsia="宋体" w:cs="宋体"/>
                <w:b/>
                <w:color w:val="000000" w:themeColor="text1"/>
                <w:spacing w:val="-10"/>
                <w:szCs w:val="21"/>
              </w:rPr>
              <w:t>■</w:t>
            </w:r>
            <w:r>
              <w:rPr>
                <w:rFonts w:hint="eastAsia"/>
                <w:b/>
                <w:color w:val="000000" w:themeColor="text1"/>
                <w:sz w:val="22"/>
                <w:szCs w:val="22"/>
              </w:rPr>
              <w:t xml:space="preserve">EMS  </w:t>
            </w:r>
            <w:r>
              <w:rPr>
                <w:rFonts w:hint="eastAsia" w:ascii="宋体" w:hAnsi="宋体" w:eastAsia="宋体" w:cs="宋体"/>
                <w:b/>
                <w:color w:val="000000" w:themeColor="text1"/>
                <w:sz w:val="22"/>
                <w:szCs w:val="22"/>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400" w:lineRule="exact"/>
              <w:rPr>
                <w:rFonts w:hint="eastAsia" w:ascii="宋体" w:hAnsi="宋体"/>
                <w:szCs w:val="21"/>
              </w:rPr>
            </w:pPr>
            <w:r>
              <w:rPr>
                <w:rFonts w:hint="eastAsia" w:ascii="宋体" w:hAnsi="宋体"/>
                <w:b/>
                <w:bCs/>
                <w:szCs w:val="21"/>
              </w:rPr>
              <w:t>EMS:</w:t>
            </w:r>
            <w:r>
              <w:rPr>
                <w:rFonts w:hint="eastAsia" w:ascii="宋体" w:hAnsi="宋体"/>
                <w:szCs w:val="21"/>
              </w:rPr>
              <w:t xml:space="preserve"> </w:t>
            </w:r>
            <w:r>
              <w:rPr>
                <w:rFonts w:hint="eastAsia" w:ascii="宋体" w:hAnsi="宋体"/>
                <w:szCs w:val="21"/>
                <w:lang w:eastAsia="zh-CN"/>
              </w:rPr>
              <w:t>汽车配件（金属支架、衬套）</w:t>
            </w:r>
            <w:r>
              <w:rPr>
                <w:rFonts w:hint="eastAsia" w:ascii="宋体" w:hAnsi="宋体"/>
                <w:szCs w:val="21"/>
              </w:rPr>
              <w:t>的销售所涉及场所的相关环境管理活动。</w:t>
            </w:r>
          </w:p>
          <w:p>
            <w:pPr>
              <w:spacing w:line="400" w:lineRule="exact"/>
              <w:rPr>
                <w:b/>
                <w:color w:val="000000" w:themeColor="text1"/>
                <w:spacing w:val="-10"/>
                <w:sz w:val="22"/>
                <w:szCs w:val="22"/>
              </w:rPr>
            </w:pPr>
            <w:r>
              <w:rPr>
                <w:rFonts w:hint="eastAsia" w:ascii="宋体" w:hAnsi="宋体"/>
                <w:b/>
                <w:bCs/>
                <w:szCs w:val="21"/>
              </w:rPr>
              <w:t>OHSMS</w:t>
            </w:r>
            <w:r>
              <w:rPr>
                <w:rFonts w:hint="eastAsia" w:ascii="宋体" w:hAnsi="宋体"/>
                <w:szCs w:val="21"/>
              </w:rPr>
              <w:t>:</w:t>
            </w:r>
            <w:r>
              <w:rPr>
                <w:rFonts w:hint="eastAsia" w:ascii="宋体" w:hAnsi="宋体"/>
                <w:szCs w:val="21"/>
                <w:lang w:eastAsia="zh-CN"/>
              </w:rPr>
              <w:t>汽车配件（金属支架、衬套）</w:t>
            </w:r>
            <w:r>
              <w:rPr>
                <w:rFonts w:hint="eastAsia" w:ascii="宋体" w:hAnsi="宋体"/>
                <w:szCs w:val="21"/>
              </w:rPr>
              <w:t>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0"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eastAsia="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ascii="宋体" w:hAnsi="宋体" w:eastAsia="宋体" w:cs="宋体"/>
                <w:b/>
                <w:color w:val="000000" w:themeColor="text1"/>
                <w:spacing w:val="-10"/>
                <w:szCs w:val="21"/>
              </w:rPr>
              <w:t>■</w:t>
            </w:r>
            <w:r>
              <w:rPr>
                <w:rFonts w:hint="eastAsia"/>
                <w:b/>
                <w:color w:val="000000" w:themeColor="text1"/>
                <w:szCs w:val="21"/>
              </w:rPr>
              <w:t xml:space="preserve">EMS   </w:t>
            </w:r>
            <w:r>
              <w:rPr>
                <w:rFonts w:hint="eastAsia" w:ascii="宋体" w:hAnsi="宋体" w:eastAsia="宋体" w:cs="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 xml:space="preserve"> </w:t>
      </w:r>
      <w:r>
        <w:rPr>
          <w:rFonts w:hint="eastAsia"/>
          <w:b/>
          <w:color w:val="000000" w:themeColor="text1"/>
          <w:u w:val="single"/>
          <w:lang w:val="en-US" w:eastAsia="zh-CN"/>
        </w:rPr>
        <w:t xml:space="preserve"> 30 </w:t>
      </w:r>
      <w:r>
        <w:rPr>
          <w:rFonts w:hint="eastAsia"/>
          <w:b/>
          <w:color w:val="000000" w:themeColor="text1"/>
          <w:lang w:val="en-US" w:eastAsia="zh-CN"/>
        </w:rPr>
        <w:t xml:space="preserve"> </w:t>
      </w:r>
      <w:r>
        <w:rPr>
          <w:rFonts w:hint="eastAsia"/>
          <w:b/>
          <w:color w:val="000000" w:themeColor="text1"/>
        </w:rPr>
        <w:t>天/严重不符合在</w:t>
      </w:r>
      <w:r>
        <w:rPr>
          <w:rFonts w:hint="eastAsia"/>
          <w:b/>
          <w:color w:val="000000" w:themeColor="text1"/>
          <w:lang w:val="en-US" w:eastAsia="zh-CN"/>
        </w:rPr>
        <w:t xml:space="preserve"> </w:t>
      </w:r>
      <w:r>
        <w:rPr>
          <w:rFonts w:hint="eastAsia"/>
          <w:b/>
          <w:color w:val="000000" w:themeColor="text1"/>
          <w:u w:val="single"/>
          <w:lang w:val="en-US" w:eastAsia="zh-CN"/>
        </w:rPr>
        <w:t xml:space="preserve"> 60 </w:t>
      </w:r>
      <w:r>
        <w:rPr>
          <w:rFonts w:hint="eastAsia"/>
          <w:b/>
          <w:color w:val="000000" w:themeColor="text1"/>
          <w:lang w:val="en-US" w:eastAsia="zh-CN"/>
        </w:rPr>
        <w:t xml:space="preserve"> </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sz w:val="26"/>
          <w:szCs w:val="26"/>
        </w:rPr>
      </w:pPr>
      <w:r>
        <w:rPr>
          <w:rFonts w:hint="eastAsia" w:ascii="宋体" w:hAnsi="宋体" w:eastAsia="宋体" w:cs="Times New Roman"/>
          <w:kern w:val="2"/>
          <w:sz w:val="21"/>
          <w:szCs w:val="22"/>
          <w:lang w:val="en-US" w:eastAsia="zh-CN" w:bidi="ar-SA"/>
        </w:rPr>
        <w:drawing>
          <wp:anchor distT="0" distB="0" distL="114300" distR="114300" simplePos="0" relativeHeight="251720704" behindDoc="0" locked="0" layoutInCell="1" allowOverlap="1">
            <wp:simplePos x="0" y="0"/>
            <wp:positionH relativeFrom="column">
              <wp:posOffset>1765300</wp:posOffset>
            </wp:positionH>
            <wp:positionV relativeFrom="paragraph">
              <wp:posOffset>8890</wp:posOffset>
            </wp:positionV>
            <wp:extent cx="334645" cy="310515"/>
            <wp:effectExtent l="0" t="0" r="8255" b="6985"/>
            <wp:wrapNone/>
            <wp:docPr id="5"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45e69cce4380e02713697e955d1ffd9"/>
                    <pic:cNvPicPr>
                      <a:picLocks noChangeAspect="1"/>
                    </pic:cNvPicPr>
                  </pic:nvPicPr>
                  <pic:blipFill>
                    <a:blip r:embed="rId6"/>
                    <a:stretch>
                      <a:fillRect/>
                    </a:stretch>
                  </pic:blipFill>
                  <pic:spPr>
                    <a:xfrm>
                      <a:off x="0" y="0"/>
                      <a:ext cx="334645" cy="310515"/>
                    </a:xfrm>
                    <a:prstGeom prst="rect">
                      <a:avLst/>
                    </a:prstGeom>
                    <a:noFill/>
                    <a:ln>
                      <a:noFill/>
                    </a:ln>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drawing>
          <wp:anchor distT="0" distB="0" distL="114300" distR="114300" simplePos="0" relativeHeight="251686912" behindDoc="0" locked="0" layoutInCell="1" allowOverlap="1">
            <wp:simplePos x="0" y="0"/>
            <wp:positionH relativeFrom="column">
              <wp:posOffset>2439670</wp:posOffset>
            </wp:positionH>
            <wp:positionV relativeFrom="paragraph">
              <wp:posOffset>52070</wp:posOffset>
            </wp:positionV>
            <wp:extent cx="668655" cy="485775"/>
            <wp:effectExtent l="0" t="0" r="4445" b="9525"/>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7"/>
                    <a:stretch>
                      <a:fillRect/>
                    </a:stretch>
                  </pic:blipFill>
                  <pic:spPr>
                    <a:xfrm>
                      <a:off x="0" y="0"/>
                      <a:ext cx="668655" cy="485775"/>
                    </a:xfrm>
                    <a:prstGeom prst="rect">
                      <a:avLst/>
                    </a:prstGeom>
                    <a:noFill/>
                    <a:ln>
                      <a:noFill/>
                    </a:ln>
                  </pic:spPr>
                </pic:pic>
              </a:graphicData>
            </a:graphic>
          </wp:anchor>
        </w:drawing>
      </w:r>
      <w:r>
        <w:drawing>
          <wp:anchor distT="0" distB="0" distL="114300" distR="114300" simplePos="0" relativeHeight="251689984" behindDoc="0" locked="0" layoutInCell="1" allowOverlap="1">
            <wp:simplePos x="0" y="0"/>
            <wp:positionH relativeFrom="column">
              <wp:posOffset>1739265</wp:posOffset>
            </wp:positionH>
            <wp:positionV relativeFrom="paragraph">
              <wp:posOffset>59690</wp:posOffset>
            </wp:positionV>
            <wp:extent cx="542925" cy="381000"/>
            <wp:effectExtent l="0" t="0" r="3175" b="0"/>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8"/>
                    <a:stretch>
                      <a:fillRect/>
                    </a:stretch>
                  </pic:blipFill>
                  <pic:spPr>
                    <a:xfrm>
                      <a:off x="0" y="0"/>
                      <a:ext cx="542925" cy="38100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color w:val="000000"/>
          <w:szCs w:val="21"/>
        </w:rPr>
        <w:t>2021年06月18日</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rPr>
        <w:t>□</w:t>
      </w:r>
      <w:r>
        <w:rPr>
          <w:rFonts w:hint="eastAsia"/>
          <w:b/>
          <w:color w:val="000000" w:themeColor="text1"/>
          <w:szCs w:val="21"/>
          <w:highlight w:val="none"/>
        </w:rPr>
        <w:t>QMS(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sym w:font="Wingdings 2" w:char="0052"/>
      </w:r>
      <w:r>
        <w:rPr>
          <w:rFonts w:hint="eastAsia"/>
          <w:b/>
          <w:color w:val="000000" w:themeColor="text1"/>
          <w:szCs w:val="21"/>
          <w:highlight w:val="none"/>
        </w:rPr>
        <w:t xml:space="preserve">EMS(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rPr>
        <w:sym w:font="Wingdings 2" w:char="0052"/>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sym w:font="Wingdings 2" w:char="0052"/>
      </w:r>
      <w:r>
        <w:rPr>
          <w:rFonts w:hint="eastAsia"/>
          <w:b/>
          <w:color w:val="000000" w:themeColor="text1"/>
          <w:szCs w:val="21"/>
          <w:highlight w:val="none"/>
        </w:rPr>
        <w:t xml:space="preserve">OHSMS(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rPr>
        <w:sym w:font="Wingdings 2" w:char="0052"/>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eastAsia="宋体" w:cs="宋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eastAsia="宋体"/>
          <w:b/>
          <w:color w:val="000000" w:themeColor="text1"/>
          <w:szCs w:val="21"/>
          <w:lang w:val="en-US" w:eastAsia="zh-CN"/>
        </w:rPr>
      </w:pPr>
      <w:r>
        <w:rPr>
          <w:rFonts w:hint="eastAsia" w:ascii="宋体" w:hAnsi="宋体" w:eastAsia="宋体" w:cs="Times New Roman"/>
          <w:kern w:val="2"/>
          <w:sz w:val="21"/>
          <w:szCs w:val="22"/>
          <w:lang w:val="en-US" w:eastAsia="zh-CN" w:bidi="ar-SA"/>
        </w:rPr>
        <w:drawing>
          <wp:anchor distT="0" distB="0" distL="114300" distR="114300" simplePos="0" relativeHeight="251789312" behindDoc="0" locked="0" layoutInCell="1" allowOverlap="1">
            <wp:simplePos x="0" y="0"/>
            <wp:positionH relativeFrom="column">
              <wp:posOffset>989330</wp:posOffset>
            </wp:positionH>
            <wp:positionV relativeFrom="paragraph">
              <wp:posOffset>135890</wp:posOffset>
            </wp:positionV>
            <wp:extent cx="334645" cy="310515"/>
            <wp:effectExtent l="0" t="0" r="8255" b="6985"/>
            <wp:wrapNone/>
            <wp:docPr id="6"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45e69cce4380e02713697e955d1ffd9"/>
                    <pic:cNvPicPr>
                      <a:picLocks noChangeAspect="1"/>
                    </pic:cNvPicPr>
                  </pic:nvPicPr>
                  <pic:blipFill>
                    <a:blip r:embed="rId6"/>
                    <a:stretch>
                      <a:fillRect/>
                    </a:stretch>
                  </pic:blipFill>
                  <pic:spPr>
                    <a:xfrm>
                      <a:off x="0" y="0"/>
                      <a:ext cx="334645" cy="31051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highlight w:val="none"/>
        </w:rPr>
        <w:t xml:space="preserve">  </w:t>
      </w:r>
      <w:r>
        <w:rPr>
          <w:rFonts w:hint="eastAsia"/>
          <w:b/>
          <w:color w:val="000000" w:themeColor="text1"/>
          <w:szCs w:val="21"/>
          <w:highlight w:val="none"/>
          <w:lang w:val="en-US" w:eastAsia="zh-CN"/>
        </w:rPr>
        <w:t>2021</w:t>
      </w:r>
      <w:r>
        <w:rPr>
          <w:rFonts w:hint="eastAsia"/>
          <w:b/>
          <w:color w:val="000000" w:themeColor="text1"/>
          <w:szCs w:val="21"/>
          <w:highlight w:val="none"/>
        </w:rPr>
        <w:t>年</w:t>
      </w:r>
      <w:r>
        <w:rPr>
          <w:rFonts w:hint="eastAsia"/>
          <w:b/>
          <w:color w:val="000000" w:themeColor="text1"/>
          <w:szCs w:val="21"/>
          <w:highlight w:val="none"/>
          <w:lang w:val="en-US" w:eastAsia="zh-CN"/>
        </w:rPr>
        <w:t xml:space="preserve"> 6</w:t>
      </w:r>
      <w:r>
        <w:rPr>
          <w:rFonts w:hint="eastAsia"/>
          <w:b/>
          <w:color w:val="000000" w:themeColor="text1"/>
          <w:szCs w:val="21"/>
          <w:highlight w:val="none"/>
        </w:rPr>
        <w:t>月</w:t>
      </w:r>
      <w:r>
        <w:rPr>
          <w:rFonts w:hint="eastAsia"/>
          <w:b/>
          <w:color w:val="000000" w:themeColor="text1"/>
          <w:szCs w:val="21"/>
          <w:highlight w:val="none"/>
          <w:lang w:val="en-US" w:eastAsia="zh-CN"/>
        </w:rPr>
        <w:t xml:space="preserve"> 21 </w:t>
      </w:r>
      <w:r>
        <w:rPr>
          <w:rFonts w:hint="eastAsia"/>
          <w:b/>
          <w:color w:val="000000" w:themeColor="text1"/>
          <w:szCs w:val="21"/>
          <w:highlight w:val="none"/>
        </w:rPr>
        <w:t>日</w:t>
      </w:r>
      <w:r>
        <w:rPr>
          <w:rFonts w:hint="eastAsia"/>
          <w:b/>
          <w:color w:val="000000" w:themeColor="text1"/>
          <w:szCs w:val="21"/>
          <w:highlight w:val="none"/>
          <w:lang w:val="en-US" w:eastAsia="zh-CN"/>
        </w:rPr>
        <w:t xml:space="preserve">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E35CF8"/>
    <w:rsid w:val="611F4C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8</TotalTime>
  <ScaleCrop>false</ScaleCrop>
  <LinksUpToDate>false</LinksUpToDate>
  <CharactersWithSpaces>5057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2021-06-18T03:01:40Z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