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0611-2021-EO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重庆建恒车科技有限公司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文平</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E:29.03.01</w:t>
            </w:r>
          </w:p>
          <w:p>
            <w:pPr>
              <w:spacing w:line="240" w:lineRule="exact"/>
              <w:jc w:val="center"/>
              <w:rPr>
                <w:b/>
                <w:color w:val="000000"/>
                <w:sz w:val="20"/>
                <w:szCs w:val="20"/>
              </w:rPr>
            </w:pPr>
            <w:r>
              <w:rPr>
                <w:b/>
                <w:color w:val="000000"/>
                <w:sz w:val="20"/>
                <w:szCs w:val="20"/>
              </w:rPr>
              <w:t>O:29.03.01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1271" w:type="dxa"/>
            <w:vAlign w:val="center"/>
          </w:tcPr>
          <w:p>
            <w:pPr>
              <w:spacing w:line="240" w:lineRule="exact"/>
              <w:jc w:val="center"/>
              <w:rPr>
                <w:b/>
                <w:color w:val="000000"/>
                <w:sz w:val="20"/>
                <w:szCs w:val="20"/>
              </w:rPr>
            </w:pPr>
            <w:r>
              <w:rPr>
                <w:b/>
                <w:color w:val="000000"/>
                <w:sz w:val="20"/>
                <w:szCs w:val="20"/>
              </w:rPr>
              <w:t>冉景洲</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受审核方管理手册第A/0版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程序文件第A/0版。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重庆建恒车科技有限公司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重庆市沙坪坝区下中渡口130号7号楼第三层2-80号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400300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重庆市北碚区歇马镇卫星村沙湾组40号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400712</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卓雅利</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15923166719</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黄兵</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卓雅利</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15923166719@163.com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E：汽车配件（金属支架、衬套）的销售所涉及场所的相关环境管理活动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O：汽车配件（金属支架、衬套）的销售所涉及场所的相关职业健康安全管理活动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E：29.03.01</w:t>
            </w:r>
          </w:p>
          <w:p>
            <w:pPr>
              <w:spacing w:line="280" w:lineRule="exact"/>
              <w:rPr>
                <w:rFonts w:ascii="宋体"/>
                <w:b/>
                <w:color w:val="000000"/>
                <w:sz w:val="20"/>
                <w:szCs w:val="20"/>
              </w:rPr>
            </w:pPr>
            <w:r>
              <w:rPr>
                <w:rFonts w:ascii="宋体"/>
                <w:b/>
                <w:color w:val="000000"/>
                <w:sz w:val="20"/>
                <w:szCs w:val="20"/>
              </w:rPr>
              <w:t>O：29.03.01</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91" w:firstLineChars="148"/>
        <w:rPr>
          <w:rFonts w:hint="default" w:ascii="宋体" w:eastAsia="宋体"/>
          <w:b/>
          <w:color w:val="000000"/>
          <w:sz w:val="20"/>
          <w:szCs w:val="20"/>
          <w:lang w:val="en-US" w:eastAsia="zh-CN"/>
        </w:rPr>
      </w:pPr>
      <w:r>
        <w:rPr>
          <w:rFonts w:hint="eastAsia" w:ascii="宋体" w:hAnsi="宋体"/>
          <w:b/>
          <w:color w:val="000000"/>
          <w:spacing w:val="-2"/>
          <w:sz w:val="20"/>
          <w:szCs w:val="20"/>
          <w:lang w:eastAsia="zh-CN"/>
        </w:rPr>
        <w:t>■</w:t>
      </w:r>
      <w:r>
        <w:rPr>
          <w:rFonts w:hint="eastAsia" w:ascii="宋体" w:hAnsi="宋体"/>
          <w:b/>
          <w:color w:val="000000"/>
          <w:spacing w:val="-2"/>
          <w:sz w:val="20"/>
          <w:szCs w:val="20"/>
        </w:rPr>
        <w:t>文件评审</w:t>
      </w:r>
      <w:r>
        <w:rPr>
          <w:rFonts w:hint="eastAsia" w:ascii="宋体" w:hAnsi="宋体"/>
          <w:b/>
          <w:color w:val="000000"/>
          <w:spacing w:val="-2"/>
          <w:sz w:val="20"/>
          <w:szCs w:val="20"/>
          <w:lang w:val="en-US" w:eastAsia="zh-CN"/>
        </w:rPr>
        <w:t>未</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管理手册，程序文件、内审、管理评审等。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eastAsia="宋体" w:cs="宋体"/>
          <w:b/>
          <w:color w:val="000000"/>
          <w:spacing w:val="-4"/>
          <w:sz w:val="20"/>
          <w:szCs w:val="20"/>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ascii="宋体" w:hAnsi="宋体"/>
          <w:szCs w:val="21"/>
          <w:lang w:eastAsia="zh-CN"/>
        </w:rPr>
        <w:t>行政</w:t>
      </w:r>
      <w:r>
        <w:rPr>
          <w:rFonts w:hint="eastAsia" w:ascii="宋体" w:hAnsi="宋体"/>
          <w:szCs w:val="21"/>
        </w:rPr>
        <w:t>部、</w:t>
      </w:r>
      <w:r>
        <w:rPr>
          <w:rFonts w:hint="eastAsia" w:ascii="宋体" w:hAnsi="宋体"/>
          <w:szCs w:val="21"/>
          <w:lang w:eastAsia="zh-CN"/>
        </w:rPr>
        <w:t>供销部</w:t>
      </w:r>
      <w:r>
        <w:rPr>
          <w:rFonts w:hint="eastAsia" w:ascii="宋体" w:hAnsi="宋体"/>
          <w:szCs w:val="21"/>
          <w:lang w:val="en-US" w:eastAsia="zh-CN"/>
        </w:rPr>
        <w:t>、财务部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场所：办公</w:t>
      </w:r>
      <w:r>
        <w:rPr>
          <w:rFonts w:hint="eastAsia" w:ascii="宋体" w:hAnsi="宋体"/>
          <w:b/>
          <w:color w:val="000000"/>
          <w:sz w:val="20"/>
          <w:szCs w:val="20"/>
          <w:lang w:val="en-US" w:eastAsia="zh-CN"/>
        </w:rPr>
        <w:t>及经营</w:t>
      </w:r>
      <w:r>
        <w:rPr>
          <w:rFonts w:hint="eastAsia" w:ascii="宋体" w:hAnsi="宋体"/>
          <w:b/>
          <w:color w:val="000000"/>
          <w:sz w:val="20"/>
          <w:szCs w:val="20"/>
        </w:rPr>
        <w:t>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w:t>
            </w:r>
            <w:r>
              <w:rPr>
                <w:sz w:val="20"/>
              </w:rPr>
              <w:t>汽车配件（金属支架、衬套）的销售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宋体" w:hAnsi="宋体"/>
                <w:szCs w:val="21"/>
              </w:rPr>
              <w:t>行政部、供销部、财务部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szCs w:val="21"/>
              </w:rPr>
              <w:t>行政部</w:t>
            </w:r>
          </w:p>
          <w:p>
            <w:pPr>
              <w:tabs>
                <w:tab w:val="left" w:pos="360"/>
              </w:tabs>
              <w:spacing w:beforeLines="50"/>
              <w:ind w:left="357" w:hanging="357"/>
              <w:rPr>
                <w:rFonts w:hint="eastAsia" w:ascii="宋体" w:hAnsi="宋体" w:eastAsia="宋体" w:cs="Times New Roman"/>
                <w:b/>
                <w:color w:val="000000"/>
                <w:sz w:val="20"/>
                <w:szCs w:val="20"/>
              </w:rPr>
            </w:pPr>
            <w:r>
              <w:rPr>
                <w:rFonts w:hint="eastAsia" w:ascii="宋体" w:hAnsi="宋体"/>
                <w:b/>
                <w:color w:val="000000"/>
                <w:sz w:val="20"/>
                <w:szCs w:val="20"/>
              </w:rPr>
              <w:t>质量管理部门：</w:t>
            </w:r>
          </w:p>
          <w:p>
            <w:pPr>
              <w:tabs>
                <w:tab w:val="left" w:pos="360"/>
              </w:tabs>
              <w:spacing w:beforeLines="50"/>
              <w:ind w:left="357" w:hanging="357"/>
              <w:rPr>
                <w:rFonts w:hint="eastAsia" w:ascii="宋体" w:hAnsi="宋体" w:eastAsia="宋体" w:cs="Times New Roman"/>
                <w:b/>
                <w:color w:val="000000"/>
                <w:sz w:val="20"/>
                <w:szCs w:val="20"/>
              </w:rPr>
            </w:pPr>
            <w:r>
              <w:rPr>
                <w:rFonts w:hint="eastAsia" w:ascii="宋体" w:hAnsi="宋体" w:eastAsia="宋体" w:cs="Times New Roman"/>
                <w:b/>
                <w:color w:val="000000"/>
                <w:sz w:val="20"/>
                <w:szCs w:val="20"/>
              </w:rPr>
              <w:t>环境管理主管部门：</w:t>
            </w:r>
            <w:r>
              <w:rPr>
                <w:rFonts w:hint="eastAsia" w:ascii="宋体" w:hAnsi="宋体" w:eastAsia="宋体" w:cs="Times New Roman"/>
                <w:b w:val="0"/>
                <w:bCs/>
                <w:color w:val="000000"/>
                <w:sz w:val="20"/>
                <w:szCs w:val="20"/>
              </w:rPr>
              <w:t>行政部</w:t>
            </w:r>
          </w:p>
          <w:p>
            <w:pPr>
              <w:tabs>
                <w:tab w:val="left" w:pos="360"/>
              </w:tabs>
              <w:spacing w:beforeLines="50"/>
              <w:ind w:left="357" w:hanging="357"/>
              <w:rPr>
                <w:rFonts w:ascii="宋体"/>
                <w:b/>
                <w:color w:val="000000"/>
                <w:sz w:val="20"/>
                <w:szCs w:val="20"/>
              </w:rPr>
            </w:pPr>
            <w:r>
              <w:rPr>
                <w:rFonts w:hint="eastAsia" w:ascii="宋体" w:hAnsi="宋体" w:eastAsia="宋体" w:cs="Times New Roman"/>
                <w:b/>
                <w:color w:val="000000"/>
                <w:sz w:val="20"/>
                <w:szCs w:val="20"/>
              </w:rPr>
              <w:t>职业健康安全主管部门：</w:t>
            </w:r>
            <w:r>
              <w:rPr>
                <w:rFonts w:hint="eastAsia" w:ascii="宋体" w:hAnsi="宋体" w:eastAsia="宋体" w:cs="Times New Roman"/>
                <w:b w:val="0"/>
                <w:bCs/>
                <w:color w:val="000000"/>
                <w:sz w:val="20"/>
                <w:szCs w:val="20"/>
              </w:rPr>
              <w:t>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bookmarkStart w:id="24" w:name="生产地址"/>
            <w:r>
              <w:rPr>
                <w:rFonts w:asciiTheme="minorEastAsia" w:hAnsiTheme="minorEastAsia" w:eastAsiaTheme="minorEastAsia"/>
                <w:sz w:val="20"/>
              </w:rPr>
              <w:t>重庆市北碚区歇马镇卫星村沙湾组40号</w:t>
            </w:r>
            <w:bookmarkEnd w:id="24"/>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w:t>
            </w:r>
            <w:r>
              <w:rPr>
                <w:rFonts w:hint="eastAsia" w:ascii="宋体" w:hAnsi="宋体"/>
                <w:color w:val="000000"/>
                <w:sz w:val="20"/>
                <w:szCs w:val="20"/>
                <w:highlight w:val="none"/>
              </w:rPr>
              <w:t>建厂房</w:t>
            </w:r>
            <w:r>
              <w:rPr>
                <w:rFonts w:hint="eastAsia" w:ascii="宋体" w:hAnsi="宋体"/>
                <w:color w:val="000000"/>
                <w:spacing w:val="-10"/>
                <w:sz w:val="20"/>
                <w:szCs w:val="20"/>
                <w:highlight w:val="none"/>
              </w:rPr>
              <w:t>□租用办公用房</w:t>
            </w:r>
            <w:r>
              <w:rPr>
                <w:rFonts w:hint="eastAsia" w:ascii="宋体" w:hAnsi="宋体" w:eastAsia="宋体" w:cs="宋体"/>
                <w:color w:val="000000"/>
                <w:spacing w:val="-10"/>
                <w:sz w:val="20"/>
                <w:szCs w:val="20"/>
                <w:highlight w:val="none"/>
              </w:rPr>
              <w:t>■</w:t>
            </w:r>
            <w:r>
              <w:rPr>
                <w:rFonts w:hint="eastAsia" w:ascii="宋体" w:hAnsi="宋体"/>
                <w:color w:val="000000"/>
                <w:spacing w:val="-10"/>
                <w:sz w:val="20"/>
                <w:szCs w:val="20"/>
                <w:highlight w:val="none"/>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eastAsia="宋体" w:cs="宋体"/>
                <w:color w:val="000000"/>
                <w:sz w:val="20"/>
                <w:szCs w:val="20"/>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eastAsia="宋体" w:cs="宋体"/>
                <w:color w:val="000000"/>
                <w:sz w:val="20"/>
                <w:szCs w:val="20"/>
              </w:rPr>
              <w:t>■</w:t>
            </w:r>
            <w:r>
              <w:rPr>
                <w:rFonts w:hint="eastAsia" w:ascii="宋体" w:hAnsi="宋体"/>
                <w:color w:val="000000"/>
                <w:sz w:val="20"/>
                <w:szCs w:val="20"/>
              </w:rPr>
              <w:t>无</w:t>
            </w:r>
          </w:p>
          <w:p>
            <w:pPr>
              <w:tabs>
                <w:tab w:val="left" w:pos="360"/>
              </w:tabs>
              <w:ind w:left="357" w:hanging="357"/>
              <w:rPr>
                <w:rFonts w:ascii="宋体"/>
                <w:b/>
                <w:color w:val="000000"/>
                <w:sz w:val="24"/>
              </w:rPr>
            </w:pPr>
            <w:r>
              <w:rPr>
                <w:rFonts w:hint="eastAsia" w:ascii="宋体" w:hAnsi="宋体"/>
                <w:b/>
                <w:color w:val="000000"/>
                <w:sz w:val="20"/>
                <w:szCs w:val="20"/>
              </w:rPr>
              <w:t>如有，请描述具体现场：</w:t>
            </w: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w:t>
            </w: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spacing w:line="400" w:lineRule="exact"/>
              <w:rPr>
                <w:rFonts w:hint="eastAsia" w:ascii="宋体" w:hAnsi="Times New Roman" w:eastAsia="宋体" w:cs="Times New Roman"/>
                <w:color w:val="000000"/>
                <w:sz w:val="20"/>
                <w:szCs w:val="20"/>
              </w:rPr>
            </w:pPr>
            <w:r>
              <w:rPr>
                <w:rFonts w:hint="eastAsia" w:ascii="宋体" w:hAnsi="Times New Roman" w:eastAsia="宋体" w:cs="Times New Roman"/>
                <w:color w:val="000000"/>
                <w:sz w:val="20"/>
                <w:szCs w:val="20"/>
              </w:rPr>
              <w:t>环境执行标准：《污水排入城镇下水道水质标准》（GB/T 31962-2015）表1中B级标准。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spacing w:line="400" w:lineRule="exact"/>
              <w:rPr>
                <w:rFonts w:hint="eastAsia" w:ascii="宋体" w:hAnsi="Times New Roman" w:eastAsia="宋体" w:cs="Times New Roman"/>
                <w:color w:val="000000"/>
                <w:sz w:val="20"/>
                <w:szCs w:val="20"/>
              </w:rPr>
            </w:pPr>
            <w:r>
              <w:rPr>
                <w:rFonts w:hint="eastAsia" w:ascii="宋体" w:hAnsi="Times New Roman" w:eastAsia="宋体" w:cs="Times New Roman"/>
                <w:color w:val="000000"/>
                <w:sz w:val="20"/>
                <w:szCs w:val="20"/>
              </w:rPr>
              <w:t>近期是否发生重大环境污染事故□是■否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spacing w:line="400" w:lineRule="exact"/>
              <w:rPr>
                <w:rFonts w:hint="eastAsia" w:ascii="宋体" w:hAnsi="Times New Roman" w:eastAsia="宋体" w:cs="Times New Roman"/>
                <w:color w:val="000000"/>
                <w:sz w:val="20"/>
                <w:szCs w:val="20"/>
              </w:rPr>
            </w:pPr>
            <w:r>
              <w:rPr>
                <w:rFonts w:hint="eastAsia" w:ascii="宋体" w:hAnsi="Times New Roman" w:eastAsia="宋体" w:cs="Times New Roman"/>
                <w:color w:val="000000"/>
                <w:sz w:val="20"/>
                <w:szCs w:val="20"/>
              </w:rPr>
              <w:t>近期是否发生重大环境投诉□是■否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spacing w:line="400" w:lineRule="exact"/>
              <w:rPr>
                <w:rFonts w:hint="eastAsia" w:ascii="宋体" w:hAnsi="Times New Roman" w:eastAsia="宋体" w:cs="Times New Roman"/>
                <w:color w:val="000000"/>
                <w:sz w:val="20"/>
                <w:szCs w:val="20"/>
              </w:rPr>
            </w:pPr>
            <w:r>
              <w:rPr>
                <w:rFonts w:hint="eastAsia" w:ascii="宋体" w:hAnsi="Times New Roman" w:eastAsia="宋体" w:cs="Times New Roman"/>
                <w:color w:val="000000"/>
                <w:sz w:val="20"/>
                <w:szCs w:val="20"/>
              </w:rPr>
              <w:t>是否有安全预评价报告，□是□否■不适用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spacing w:line="400" w:lineRule="exact"/>
              <w:rPr>
                <w:rFonts w:hint="eastAsia" w:ascii="宋体" w:hAnsi="Times New Roman" w:eastAsia="宋体" w:cs="Times New Roman"/>
                <w:color w:val="000000"/>
                <w:sz w:val="20"/>
                <w:szCs w:val="20"/>
              </w:rPr>
            </w:pPr>
            <w:r>
              <w:rPr>
                <w:rFonts w:hint="eastAsia" w:ascii="宋体" w:hAnsi="Times New Roman" w:eastAsia="宋体" w:cs="Times New Roman"/>
                <w:color w:val="000000"/>
                <w:sz w:val="20"/>
                <w:szCs w:val="20"/>
              </w:rPr>
              <w:t>是否有安全现状评价报告，□是□否■不适用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spacing w:line="400" w:lineRule="exact"/>
              <w:rPr>
                <w:rFonts w:hint="eastAsia" w:ascii="宋体" w:hAnsi="Times New Roman" w:eastAsia="宋体" w:cs="Times New Roman"/>
                <w:color w:val="000000"/>
                <w:sz w:val="20"/>
                <w:szCs w:val="20"/>
              </w:rPr>
            </w:pPr>
            <w:r>
              <w:rPr>
                <w:rFonts w:hint="eastAsia" w:ascii="宋体" w:hAnsi="Times New Roman" w:eastAsia="宋体" w:cs="Times New Roman"/>
                <w:color w:val="000000"/>
                <w:sz w:val="20"/>
                <w:szCs w:val="20"/>
              </w:rPr>
              <w:t>是否有消防验收报告□是□否■不适用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spacing w:line="400" w:lineRule="exact"/>
              <w:rPr>
                <w:rFonts w:hint="eastAsia" w:ascii="宋体" w:hAnsi="Times New Roman" w:eastAsia="宋体" w:cs="Times New Roman"/>
                <w:color w:val="000000"/>
                <w:sz w:val="20"/>
                <w:szCs w:val="20"/>
              </w:rPr>
            </w:pPr>
            <w:r>
              <w:rPr>
                <w:rFonts w:hint="eastAsia" w:ascii="宋体" w:hAnsi="Times New Roman" w:eastAsia="宋体" w:cs="Times New Roman"/>
                <w:color w:val="000000"/>
                <w:sz w:val="20"/>
                <w:szCs w:val="20"/>
              </w:rPr>
              <w:t>是否申报职业危害场所□是□否■不适用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spacing w:line="400" w:lineRule="exact"/>
              <w:rPr>
                <w:rFonts w:hint="eastAsia" w:ascii="宋体" w:hAnsi="Times New Roman" w:eastAsia="宋体" w:cs="Times New Roman"/>
                <w:color w:val="000000"/>
                <w:sz w:val="20"/>
                <w:szCs w:val="20"/>
              </w:rPr>
            </w:pPr>
            <w:r>
              <w:rPr>
                <w:rFonts w:hint="eastAsia" w:ascii="宋体" w:hAnsi="Times New Roman" w:eastAsia="宋体" w:cs="Times New Roman"/>
                <w:color w:val="000000"/>
                <w:sz w:val="20"/>
                <w:szCs w:val="20"/>
              </w:rPr>
              <w:t>执行标准：中华人民共和国安全消防法、中华人民共和国劳动合同法、中华人民共和国安全生产法等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ascii="Times New Roman" w:hAnsi="Times New Roman" w:eastAsia="宋体" w:cs="Times New Roman"/>
                <w:lang w:val="en-US" w:eastAsia="zh-CN"/>
              </w:rPr>
            </w:pPr>
            <w:r>
              <w:t>汽车配件（金属支架、衬套）的销售</w:t>
            </w:r>
            <w:r>
              <w:rPr>
                <w:rFonts w:hint="eastAsia"/>
                <w:lang w:val="en-US" w:eastAsia="zh-CN"/>
              </w:rPr>
              <w:t>流程</w:t>
            </w:r>
            <w:r>
              <w:rPr>
                <w:rFonts w:hint="eastAsia" w:ascii="Times New Roman" w:hAnsi="Times New Roman" w:eastAsia="宋体" w:cs="Times New Roman"/>
                <w:lang w:val="en-US" w:eastAsia="zh-CN"/>
              </w:rPr>
              <w:t>：</w:t>
            </w:r>
          </w:p>
          <w:p>
            <w:pPr>
              <w:rPr>
                <w:rFonts w:hint="eastAsia"/>
                <w:lang w:val="en-US" w:eastAsia="zh-CN"/>
              </w:rPr>
            </w:pPr>
            <w:r>
              <w:rPr>
                <w:rFonts w:hint="eastAsia" w:ascii="Times New Roman" w:hAnsi="Times New Roman" w:eastAsia="宋体" w:cs="Times New Roman"/>
                <w:lang w:eastAsia="zh-CN"/>
              </w:rPr>
              <w:t>顾客洽谈</w:t>
            </w:r>
            <w:r>
              <w:rPr>
                <w:rFonts w:hint="eastAsia" w:ascii="Times New Roman" w:hAnsi="Times New Roman" w:eastAsia="宋体" w:cs="Times New Roman"/>
              </w:rPr>
              <w:t>→签订合同→产品销售→客户验收→售后服务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vAlign w:val="top"/>
          </w:tcPr>
          <w:p>
            <w:pPr>
              <w:rPr>
                <w:rFonts w:ascii="宋体"/>
                <w:color w:val="000000"/>
                <w:spacing w:val="-10"/>
                <w:sz w:val="20"/>
                <w:szCs w:val="20"/>
              </w:rPr>
            </w:pPr>
            <w:r>
              <w:rPr>
                <w:rFonts w:hint="eastAsia" w:ascii="宋体" w:hAnsi="宋体"/>
                <w:color w:val="000000"/>
                <w:spacing w:val="-10"/>
                <w:sz w:val="20"/>
                <w:szCs w:val="20"/>
              </w:rPr>
              <w:t>主要设备：电脑、打印机等办公设备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vAlign w:val="top"/>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vAlign w:val="top"/>
          </w:tcPr>
          <w:p>
            <w:pPr>
              <w:rPr>
                <w:rFonts w:ascii="宋体"/>
                <w:color w:val="000000"/>
                <w:sz w:val="20"/>
                <w:szCs w:val="20"/>
              </w:rPr>
            </w:pPr>
            <w:r>
              <w:rPr>
                <w:rFonts w:hint="eastAsia" w:ascii="宋体" w:hAnsi="宋体"/>
                <w:color w:val="000000"/>
                <w:sz w:val="20"/>
                <w:szCs w:val="20"/>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vAlign w:val="top"/>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vAlign w:val="top"/>
          </w:tcPr>
          <w:p>
            <w:pPr>
              <w:rPr>
                <w:rFonts w:ascii="宋体"/>
                <w:color w:val="000000"/>
                <w:sz w:val="20"/>
                <w:szCs w:val="20"/>
              </w:rPr>
            </w:pPr>
            <w:r>
              <w:rPr>
                <w:rFonts w:hint="eastAsia" w:ascii="宋体"/>
                <w:color w:val="000000"/>
                <w:sz w:val="20"/>
                <w:szCs w:val="20"/>
              </w:rPr>
              <w:t>监视和测量设备（请简述主要监视和测量设备）：无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vAlign w:val="top"/>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vAlign w:val="top"/>
          </w:tcPr>
          <w:p>
            <w:pPr>
              <w:rPr>
                <w:rFonts w:ascii="宋体"/>
                <w:color w:val="000000"/>
                <w:sz w:val="20"/>
                <w:szCs w:val="20"/>
              </w:rPr>
            </w:pPr>
            <w:r>
              <w:rPr>
                <w:rFonts w:hint="eastAsia" w:ascii="宋体"/>
                <w:color w:val="000000"/>
                <w:sz w:val="20"/>
                <w:szCs w:val="20"/>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vAlign w:val="top"/>
          </w:tcPr>
          <w:p>
            <w:pPr>
              <w:pStyle w:val="15"/>
              <w:tabs>
                <w:tab w:val="center" w:pos="3169"/>
              </w:tabs>
              <w:spacing w:line="400" w:lineRule="exact"/>
              <w:ind w:firstLine="0" w:firstLineChars="0"/>
              <w:jc w:val="left"/>
              <w:rPr>
                <w:rFonts w:ascii="宋体"/>
                <w:color w:val="000000"/>
                <w:sz w:val="20"/>
                <w:szCs w:val="20"/>
              </w:rPr>
            </w:pPr>
            <w:r>
              <w:rPr>
                <w:rFonts w:hint="eastAsia" w:ascii="宋体"/>
                <w:color w:val="000000"/>
                <w:sz w:val="20"/>
                <w:szCs w:val="20"/>
              </w:rPr>
              <w:t>重要环境因素有</w:t>
            </w:r>
            <w:r>
              <w:rPr>
                <w:rFonts w:hint="eastAsia" w:ascii="宋体" w:hAnsi="Times New Roman" w:eastAsia="宋体" w:cs="Times New Roman"/>
                <w:color w:val="000000"/>
                <w:sz w:val="20"/>
                <w:szCs w:val="20"/>
              </w:rPr>
              <w:t>： 1）潜在火灾；2）固废的排放。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针对重要环境因素建立了运行控制程序：■</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针对重要环境因素是否明确了监视和测量的要求：■</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应急预案有：火灾应急预案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vAlign w:val="top"/>
          </w:tcPr>
          <w:p>
            <w:pPr>
              <w:rPr>
                <w:rFonts w:hint="default" w:ascii="宋体" w:eastAsia="宋体"/>
                <w:color w:val="000000"/>
                <w:sz w:val="20"/>
                <w:szCs w:val="20"/>
                <w:lang w:val="en-US" w:eastAsia="zh-CN"/>
              </w:rPr>
            </w:pPr>
            <w:r>
              <w:rPr>
                <w:rFonts w:hint="eastAsia" w:ascii="宋体"/>
                <w:color w:val="000000"/>
                <w:sz w:val="20"/>
                <w:szCs w:val="20"/>
              </w:rPr>
              <w:t>不可接受风险有：</w:t>
            </w:r>
            <w:r>
              <w:rPr>
                <w:rFonts w:hint="eastAsia" w:ascii="宋体"/>
                <w:sz w:val="20"/>
                <w:szCs w:val="20"/>
              </w:rPr>
              <w:t>火灾、</w:t>
            </w:r>
            <w:r>
              <w:rPr>
                <w:rFonts w:hint="eastAsia" w:ascii="宋体"/>
                <w:sz w:val="20"/>
                <w:szCs w:val="20"/>
                <w:lang w:val="en-US" w:eastAsia="zh-CN"/>
              </w:rPr>
              <w:t>中暑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针对不可接受风险是否明确了监视和测量的要求：■</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15</w:t>
            </w:r>
            <w:r>
              <w:rPr>
                <w:rFonts w:hint="eastAsia" w:ascii="宋体"/>
                <w:color w:val="000000"/>
                <w:sz w:val="20"/>
                <w:szCs w:val="20"/>
              </w:rPr>
              <w:t>人，其中管理人员：</w:t>
            </w:r>
            <w:r>
              <w:rPr>
                <w:rFonts w:hint="eastAsia" w:ascii="宋体"/>
                <w:color w:val="000000"/>
                <w:sz w:val="20"/>
                <w:szCs w:val="20"/>
                <w:lang w:val="en-US" w:eastAsia="zh-CN"/>
              </w:rPr>
              <w:t>5</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360" w:lineRule="auto"/>
              <w:rPr>
                <w:rFonts w:ascii="宋体"/>
                <w:b/>
                <w:color w:val="000000"/>
                <w:szCs w:val="21"/>
              </w:rPr>
            </w:pPr>
            <w:r>
              <w:rPr>
                <w:rFonts w:hint="eastAsia" w:ascii="宋体" w:hAnsi="宋体" w:eastAsia="宋体" w:cs="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360" w:lineRule="auto"/>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9497" w:type="dxa"/>
            <w:vAlign w:val="top"/>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重点审核部门：行政部</w:t>
            </w:r>
          </w:p>
          <w:p>
            <w:pPr>
              <w:spacing w:line="360" w:lineRule="auto"/>
              <w:rPr>
                <w:rFonts w:ascii="宋体"/>
                <w:b/>
                <w:color w:val="000000"/>
                <w:sz w:val="20"/>
                <w:szCs w:val="20"/>
              </w:rPr>
            </w:pPr>
            <w:r>
              <w:rPr>
                <w:rFonts w:hint="eastAsia" w:ascii="宋体" w:hAnsi="宋体"/>
                <w:b/>
                <w:color w:val="000000"/>
                <w:sz w:val="20"/>
                <w:szCs w:val="20"/>
              </w:rPr>
              <w:t>重点审核场所：办公区域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497" w:type="dxa"/>
            <w:vAlign w:val="top"/>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重点审核部门：行政部</w:t>
            </w:r>
          </w:p>
          <w:p>
            <w:pPr>
              <w:spacing w:line="260" w:lineRule="exact"/>
              <w:rPr>
                <w:rFonts w:ascii="宋体"/>
                <w:b/>
                <w:color w:val="000000"/>
                <w:sz w:val="20"/>
                <w:szCs w:val="20"/>
              </w:rPr>
            </w:pPr>
            <w:r>
              <w:rPr>
                <w:rFonts w:hint="eastAsia" w:ascii="宋体" w:hAnsi="宋体"/>
                <w:b/>
                <w:color w:val="000000"/>
                <w:sz w:val="20"/>
                <w:szCs w:val="20"/>
              </w:rPr>
              <w:t>重点审核场所：办公区域</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1"/>
                <w:szCs w:val="21"/>
              </w:rPr>
            </w:pPr>
            <w:bookmarkStart w:id="26" w:name="_GoBack"/>
            <w:r>
              <w:rPr>
                <w:rFonts w:hint="eastAsia" w:ascii="宋体" w:hAnsi="宋体"/>
                <w:b/>
                <w:color w:val="000000"/>
                <w:sz w:val="21"/>
                <w:szCs w:val="21"/>
              </w:rPr>
              <w:t>内部审核</w:t>
            </w:r>
          </w:p>
        </w:tc>
        <w:tc>
          <w:tcPr>
            <w:tcW w:w="8221" w:type="dxa"/>
          </w:tcPr>
          <w:p>
            <w:pPr>
              <w:spacing w:line="400" w:lineRule="exact"/>
              <w:rPr>
                <w:rFonts w:ascii="宋体"/>
                <w:b/>
                <w:color w:val="000000"/>
                <w:sz w:val="21"/>
                <w:szCs w:val="21"/>
              </w:rPr>
            </w:pPr>
            <w:r>
              <w:rPr>
                <w:rFonts w:hint="eastAsia" w:ascii="宋体" w:hAnsi="宋体"/>
                <w:b/>
                <w:color w:val="000000"/>
                <w:sz w:val="21"/>
                <w:szCs w:val="21"/>
              </w:rPr>
              <w:t>了解内审的策划</w:t>
            </w:r>
            <w:r>
              <w:rPr>
                <w:rFonts w:ascii="宋体" w:hAnsi="宋体"/>
                <w:b/>
                <w:color w:val="000000"/>
                <w:sz w:val="21"/>
                <w:szCs w:val="21"/>
              </w:rPr>
              <w:t xml:space="preserve">; </w:t>
            </w:r>
            <w:r>
              <w:rPr>
                <w:rFonts w:hint="eastAsia" w:ascii="宋体" w:hAnsi="宋体"/>
                <w:sz w:val="21"/>
                <w:szCs w:val="21"/>
              </w:rPr>
              <w:t>建立有《内部审核控制程序》，于</w:t>
            </w:r>
            <w:r>
              <w:rPr>
                <w:rFonts w:hint="eastAsia" w:ascii="宋体" w:hAnsi="宋体"/>
                <w:color w:val="000000" w:themeColor="text1"/>
                <w:sz w:val="21"/>
                <w:szCs w:val="21"/>
              </w:rPr>
              <w:t>2021年5月20日</w:t>
            </w:r>
            <w:r>
              <w:rPr>
                <w:rFonts w:hint="eastAsia" w:ascii="宋体" w:hAnsi="宋体"/>
                <w:sz w:val="21"/>
                <w:szCs w:val="21"/>
              </w:rPr>
              <w:t>进行了内部审核。内部审核组组成：</w:t>
            </w:r>
            <w:r>
              <w:rPr>
                <w:rFonts w:hint="eastAsia" w:ascii="宋体" w:hAnsi="宋体"/>
                <w:color w:val="000000" w:themeColor="text1"/>
                <w:sz w:val="21"/>
                <w:szCs w:val="21"/>
              </w:rPr>
              <w:t>组长（A） ：卓雅利    组员（B）：黄兵。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1"/>
                <w:szCs w:val="21"/>
              </w:rPr>
            </w:pPr>
          </w:p>
        </w:tc>
        <w:tc>
          <w:tcPr>
            <w:tcW w:w="8221" w:type="dxa"/>
          </w:tcPr>
          <w:p>
            <w:pPr>
              <w:spacing w:line="260" w:lineRule="exact"/>
              <w:rPr>
                <w:sz w:val="21"/>
                <w:szCs w:val="21"/>
              </w:rPr>
            </w:pPr>
            <w:r>
              <w:rPr>
                <w:rFonts w:hint="eastAsia"/>
                <w:sz w:val="21"/>
                <w:szCs w:val="21"/>
              </w:rPr>
              <w:t>了解内审是否覆盖了管理体系范围内的活动及标准的要求; （1）审核范围：与本公司质量管理体系有关的所有部门、活动和人员</w:t>
            </w:r>
          </w:p>
          <w:p>
            <w:pPr>
              <w:spacing w:line="260" w:lineRule="exact"/>
              <w:rPr>
                <w:sz w:val="21"/>
                <w:szCs w:val="21"/>
              </w:rPr>
            </w:pPr>
            <w:r>
              <w:rPr>
                <w:rFonts w:hint="eastAsia"/>
                <w:sz w:val="21"/>
                <w:szCs w:val="21"/>
              </w:rPr>
              <w:t>（2）审核准则：GB/T24001-2016、ISO45001-2018标准，整合型手册、程序文件、适用的法律法规、相关方要求等。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1"/>
                <w:szCs w:val="21"/>
              </w:rPr>
            </w:pPr>
          </w:p>
        </w:tc>
        <w:tc>
          <w:tcPr>
            <w:tcW w:w="8221" w:type="dxa"/>
          </w:tcPr>
          <w:p>
            <w:pPr>
              <w:spacing w:line="260" w:lineRule="exact"/>
              <w:rPr>
                <w:rFonts w:ascii="宋体" w:hAnsi="宋体"/>
                <w:b/>
                <w:color w:val="000000"/>
                <w:sz w:val="21"/>
                <w:szCs w:val="21"/>
              </w:rPr>
            </w:pPr>
            <w:r>
              <w:rPr>
                <w:rFonts w:hint="eastAsia" w:ascii="宋体" w:hAnsi="宋体"/>
                <w:b/>
                <w:color w:val="000000"/>
                <w:sz w:val="21"/>
                <w:szCs w:val="21"/>
              </w:rPr>
              <w:t>了解内审结论是什么？</w:t>
            </w:r>
          </w:p>
          <w:p>
            <w:pPr>
              <w:spacing w:line="260" w:lineRule="exact"/>
              <w:rPr>
                <w:rFonts w:ascii="宋体" w:hAnsi="宋体"/>
                <w:b/>
                <w:color w:val="000000"/>
                <w:sz w:val="21"/>
                <w:szCs w:val="21"/>
              </w:rPr>
            </w:pPr>
            <w:r>
              <w:rPr>
                <w:rFonts w:hint="eastAsia"/>
                <w:sz w:val="21"/>
                <w:szCs w:val="21"/>
              </w:rPr>
              <w:t>公司管理体系符合标准和公司管理体系规定，得到了有效实施与保持的信息。 环境、职业健康安全体系的运行基本有效。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1"/>
                <w:szCs w:val="21"/>
              </w:rPr>
            </w:pPr>
            <w:r>
              <w:rPr>
                <w:rFonts w:hint="eastAsia" w:ascii="宋体" w:hAnsi="宋体"/>
                <w:b/>
                <w:color w:val="000000"/>
                <w:sz w:val="21"/>
                <w:szCs w:val="21"/>
              </w:rPr>
              <w:t>管理评审</w:t>
            </w:r>
          </w:p>
        </w:tc>
        <w:tc>
          <w:tcPr>
            <w:tcW w:w="8221" w:type="dxa"/>
          </w:tcPr>
          <w:p>
            <w:pPr>
              <w:spacing w:line="260" w:lineRule="exact"/>
              <w:rPr>
                <w:rFonts w:ascii="宋体"/>
                <w:b/>
                <w:color w:val="000000"/>
                <w:sz w:val="21"/>
                <w:szCs w:val="21"/>
              </w:rPr>
            </w:pPr>
            <w:r>
              <w:rPr>
                <w:rFonts w:hint="eastAsia" w:ascii="宋体" w:hAnsi="宋体"/>
                <w:b/>
                <w:color w:val="000000"/>
                <w:sz w:val="21"/>
                <w:szCs w:val="21"/>
              </w:rPr>
              <w:t>了解管理评审的策划</w:t>
            </w:r>
            <w:r>
              <w:rPr>
                <w:rFonts w:ascii="宋体" w:hAnsi="宋体"/>
                <w:b/>
                <w:color w:val="000000"/>
                <w:sz w:val="21"/>
                <w:szCs w:val="21"/>
              </w:rPr>
              <w:t xml:space="preserve">; </w:t>
            </w:r>
            <w:r>
              <w:rPr>
                <w:rFonts w:hint="eastAsia"/>
                <w:sz w:val="21"/>
                <w:szCs w:val="21"/>
              </w:rPr>
              <w:t>建立有《管理评审控制程序》，于</w:t>
            </w:r>
            <w:r>
              <w:rPr>
                <w:rFonts w:hint="eastAsia" w:ascii="宋体" w:hAnsi="宋体" w:cs="Times New Roman"/>
                <w:sz w:val="21"/>
                <w:szCs w:val="21"/>
                <w:lang w:eastAsia="zh-CN"/>
              </w:rPr>
              <w:t>2021年</w:t>
            </w:r>
            <w:r>
              <w:rPr>
                <w:rFonts w:hint="eastAsia" w:ascii="宋体" w:hAnsi="宋体" w:cs="Times New Roman"/>
                <w:sz w:val="21"/>
                <w:szCs w:val="21"/>
                <w:lang w:val="en-US" w:eastAsia="zh-CN"/>
              </w:rPr>
              <w:t>5</w:t>
            </w:r>
            <w:r>
              <w:rPr>
                <w:rFonts w:hint="eastAsia" w:ascii="宋体" w:hAnsi="宋体" w:cs="Times New Roman"/>
                <w:sz w:val="21"/>
                <w:szCs w:val="21"/>
                <w:lang w:eastAsia="zh-CN"/>
              </w:rPr>
              <w:t>月</w:t>
            </w:r>
            <w:r>
              <w:rPr>
                <w:rFonts w:hint="eastAsia" w:ascii="宋体" w:hAnsi="宋体" w:cs="Times New Roman"/>
                <w:sz w:val="21"/>
                <w:szCs w:val="21"/>
                <w:lang w:val="en-US" w:eastAsia="zh-CN"/>
              </w:rPr>
              <w:t>30</w:t>
            </w:r>
            <w:r>
              <w:rPr>
                <w:rFonts w:hint="eastAsia" w:ascii="宋体" w:hAnsi="宋体" w:cs="Times New Roman"/>
                <w:sz w:val="21"/>
                <w:szCs w:val="21"/>
                <w:lang w:eastAsia="zh-CN"/>
              </w:rPr>
              <w:t>日</w:t>
            </w:r>
            <w:r>
              <w:rPr>
                <w:rFonts w:hint="eastAsia" w:ascii="宋体" w:hAnsi="宋体"/>
                <w:kern w:val="0"/>
                <w:sz w:val="21"/>
                <w:szCs w:val="21"/>
              </w:rPr>
              <w:t>由总经理主持</w:t>
            </w:r>
            <w:r>
              <w:rPr>
                <w:rFonts w:hint="eastAsia"/>
                <w:sz w:val="21"/>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1"/>
                <w:szCs w:val="21"/>
              </w:rPr>
            </w:pPr>
          </w:p>
        </w:tc>
        <w:tc>
          <w:tcPr>
            <w:tcW w:w="8221" w:type="dxa"/>
          </w:tcPr>
          <w:p>
            <w:pPr>
              <w:spacing w:line="260" w:lineRule="exact"/>
              <w:rPr>
                <w:rFonts w:ascii="宋体"/>
                <w:b/>
                <w:color w:val="000000"/>
                <w:sz w:val="21"/>
                <w:szCs w:val="21"/>
              </w:rPr>
            </w:pPr>
            <w:r>
              <w:rPr>
                <w:rFonts w:hint="eastAsia" w:ascii="宋体" w:hAnsi="宋体"/>
                <w:b/>
                <w:color w:val="000000"/>
                <w:sz w:val="21"/>
                <w:szCs w:val="21"/>
              </w:rPr>
              <w:t>了解管理评审输入是否充分</w:t>
            </w:r>
            <w:r>
              <w:rPr>
                <w:rFonts w:ascii="宋体" w:hAnsi="宋体"/>
                <w:b/>
                <w:color w:val="000000"/>
                <w:sz w:val="21"/>
                <w:szCs w:val="21"/>
              </w:rPr>
              <w:t xml:space="preserve">; </w:t>
            </w:r>
            <w:r>
              <w:rPr>
                <w:rFonts w:hint="eastAsia" w:ascii="宋体" w:hAnsi="宋体"/>
                <w:kern w:val="0"/>
                <w:sz w:val="21"/>
                <w:szCs w:val="21"/>
              </w:rPr>
              <w:t>提供主要输入材料有：各部门总结，</w:t>
            </w:r>
            <w:r>
              <w:rPr>
                <w:rFonts w:hint="eastAsia" w:ascii="宋体"/>
                <w:kern w:val="0"/>
                <w:sz w:val="21"/>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1"/>
                <w:szCs w:val="21"/>
              </w:rPr>
            </w:pPr>
          </w:p>
        </w:tc>
        <w:tc>
          <w:tcPr>
            <w:tcW w:w="8221" w:type="dxa"/>
          </w:tcPr>
          <w:p>
            <w:pPr>
              <w:spacing w:line="260" w:lineRule="exact"/>
              <w:rPr>
                <w:rFonts w:ascii="宋体"/>
                <w:b/>
                <w:color w:val="000000"/>
                <w:sz w:val="21"/>
                <w:szCs w:val="21"/>
              </w:rPr>
            </w:pPr>
            <w:r>
              <w:rPr>
                <w:rFonts w:hint="eastAsia" w:ascii="宋体" w:hAnsi="宋体"/>
                <w:b/>
                <w:color w:val="000000"/>
                <w:sz w:val="21"/>
                <w:szCs w:val="21"/>
              </w:rPr>
              <w:t>了解管理评审结论</w:t>
            </w:r>
            <w:r>
              <w:rPr>
                <w:rFonts w:ascii="宋体" w:hAnsi="宋体"/>
                <w:b/>
                <w:color w:val="000000"/>
                <w:sz w:val="21"/>
                <w:szCs w:val="21"/>
              </w:rPr>
              <w:t xml:space="preserve">; </w:t>
            </w:r>
            <w:r>
              <w:rPr>
                <w:rFonts w:hint="eastAsia"/>
                <w:sz w:val="21"/>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9497" w:type="dxa"/>
            <w:gridSpan w:val="2"/>
          </w:tcPr>
          <w:p>
            <w:pPr>
              <w:widowControl/>
              <w:jc w:val="left"/>
              <w:rPr>
                <w:rFonts w:hint="default" w:ascii="宋体" w:eastAsia="宋体"/>
                <w:b/>
                <w:color w:val="000000"/>
                <w:sz w:val="21"/>
                <w:szCs w:val="21"/>
                <w:lang w:val="en-US" w:eastAsia="zh-CN"/>
              </w:rPr>
            </w:pPr>
            <w:r>
              <w:rPr>
                <w:rFonts w:hint="eastAsia" w:ascii="宋体" w:hAnsi="宋体"/>
                <w:b/>
                <w:color w:val="000000"/>
                <w:sz w:val="21"/>
                <w:szCs w:val="21"/>
              </w:rPr>
              <w:t>评价受审核方对内审和管理评审的关注情况，是否已为二阶段审核做好准备</w:t>
            </w:r>
            <w:r>
              <w:rPr>
                <w:rFonts w:ascii="宋体" w:hAnsi="宋体"/>
                <w:b/>
                <w:color w:val="000000"/>
                <w:sz w:val="21"/>
                <w:szCs w:val="21"/>
              </w:rPr>
              <w:t xml:space="preserve">: </w:t>
            </w:r>
            <w:r>
              <w:rPr>
                <w:rFonts w:hint="eastAsia" w:ascii="宋体" w:hAnsi="宋体"/>
                <w:b/>
                <w:color w:val="000000"/>
                <w:sz w:val="21"/>
                <w:szCs w:val="21"/>
                <w:lang w:val="en-US" w:eastAsia="zh-CN"/>
              </w:rPr>
              <w:t>作好准备</w:t>
            </w:r>
          </w:p>
          <w:p>
            <w:pPr>
              <w:widowControl/>
              <w:jc w:val="left"/>
              <w:rPr>
                <w:rFonts w:ascii="宋体"/>
                <w:b/>
                <w:color w:val="000000"/>
                <w:sz w:val="21"/>
                <w:szCs w:val="21"/>
              </w:rPr>
            </w:pPr>
          </w:p>
        </w:tc>
      </w:tr>
      <w:bookmarkEnd w:id="26"/>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vAlign w:val="top"/>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vAlign w:val="top"/>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vAlign w:val="top"/>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vAlign w:val="top"/>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vAlign w:val="top"/>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vAlign w:val="top"/>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vAlign w:val="top"/>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eastAsia="宋体" w:cs="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eastAsia="宋体" w:cs="宋体"/>
          <w:b/>
          <w:color w:val="00000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hint="default" w:ascii="宋体" w:eastAsia="宋体"/>
          <w:b/>
          <w:color w:val="000000"/>
          <w:sz w:val="20"/>
          <w:szCs w:val="20"/>
          <w:u w:val="single"/>
          <w:lang w:val="en-US" w:eastAsia="zh-CN"/>
        </w:rPr>
      </w:pPr>
      <w:r>
        <w:rPr>
          <w:rFonts w:ascii="宋体" w:hAnsi="宋体"/>
          <w:b/>
          <w:color w:val="000000"/>
          <w:sz w:val="20"/>
          <w:szCs w:val="20"/>
        </w:rPr>
        <w:t>QMS:</w:t>
      </w:r>
      <w:r>
        <w:rPr>
          <w:rFonts w:hint="eastAsia" w:ascii="宋体" w:hAnsi="宋体"/>
          <w:b/>
          <w:color w:val="000000"/>
          <w:sz w:val="20"/>
          <w:szCs w:val="20"/>
          <w:u w:val="single"/>
          <w:lang w:val="en-US" w:eastAsia="zh-CN"/>
        </w:rPr>
        <w:t xml:space="preserve">                                           </w:t>
      </w:r>
    </w:p>
    <w:p>
      <w:pPr>
        <w:spacing w:line="300" w:lineRule="auto"/>
        <w:ind w:firstLine="201" w:firstLineChars="100"/>
        <w:rPr>
          <w:sz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r>
        <w:rPr>
          <w:sz w:val="20"/>
          <w:u w:val="single"/>
        </w:rPr>
        <w:t>汽车配件（金属支架、衬套）的销售所涉及场所的相关环境管理活动</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sz w:val="20"/>
          <w:u w:val="single"/>
        </w:rPr>
        <w:t>汽车配件（金属支架、衬套）的销售所涉及场所的相关职业健康安全管理活动</w:t>
      </w:r>
    </w:p>
    <w:p>
      <w:pPr>
        <w:spacing w:before="156" w:beforeLines="50" w:after="62" w:afterLines="20" w:line="360" w:lineRule="exact"/>
        <w:ind w:firstLine="210" w:firstLineChars="100"/>
        <w:rPr>
          <w:rFonts w:ascii="宋体"/>
          <w:b/>
          <w:bCs/>
          <w:color w:val="000000"/>
          <w:sz w:val="26"/>
          <w:szCs w:val="26"/>
        </w:rPr>
      </w:pPr>
      <w:r>
        <w:rPr>
          <w:rFonts w:hint="eastAsia" w:ascii="宋体" w:hAnsi="宋体" w:eastAsia="宋体" w:cs="Times New Roman"/>
          <w:kern w:val="2"/>
          <w:sz w:val="21"/>
          <w:szCs w:val="22"/>
          <w:lang w:val="en-US" w:eastAsia="zh-CN" w:bidi="ar-SA"/>
        </w:rPr>
        <w:drawing>
          <wp:anchor distT="0" distB="0" distL="114300" distR="114300" simplePos="0" relativeHeight="251661312" behindDoc="0" locked="0" layoutInCell="1" allowOverlap="1">
            <wp:simplePos x="0" y="0"/>
            <wp:positionH relativeFrom="column">
              <wp:posOffset>2035810</wp:posOffset>
            </wp:positionH>
            <wp:positionV relativeFrom="paragraph">
              <wp:posOffset>290830</wp:posOffset>
            </wp:positionV>
            <wp:extent cx="395605" cy="366395"/>
            <wp:effectExtent l="0" t="0" r="10795" b="1905"/>
            <wp:wrapNone/>
            <wp:docPr id="1" name="图片 3"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45e69cce4380e02713697e955d1ffd9"/>
                    <pic:cNvPicPr>
                      <a:picLocks noChangeAspect="1"/>
                    </pic:cNvPicPr>
                  </pic:nvPicPr>
                  <pic:blipFill>
                    <a:blip r:embed="rId6"/>
                    <a:stretch>
                      <a:fillRect/>
                    </a:stretch>
                  </pic:blipFill>
                  <pic:spPr>
                    <a:xfrm>
                      <a:off x="0" y="0"/>
                      <a:ext cx="395605" cy="366395"/>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960" w:firstLineChars="400"/>
        <w:rPr>
          <w:rFonts w:ascii="宋体"/>
          <w:b/>
          <w:bCs/>
          <w:color w:val="000000"/>
          <w:sz w:val="26"/>
          <w:szCs w:val="26"/>
        </w:rPr>
      </w:pPr>
      <w:r>
        <w:rPr>
          <w:sz w:val="24"/>
        </w:rPr>
        <w:drawing>
          <wp:anchor distT="0" distB="0" distL="114300" distR="114300" simplePos="0" relativeHeight="251662336" behindDoc="0" locked="0" layoutInCell="1" allowOverlap="1">
            <wp:simplePos x="0" y="0"/>
            <wp:positionH relativeFrom="column">
              <wp:posOffset>1956435</wp:posOffset>
            </wp:positionH>
            <wp:positionV relativeFrom="paragraph">
              <wp:posOffset>229235</wp:posOffset>
            </wp:positionV>
            <wp:extent cx="590550" cy="426720"/>
            <wp:effectExtent l="0" t="0" r="6350" b="5080"/>
            <wp:wrapNone/>
            <wp:docPr id="3"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24309\AppData\Local\Temp\WeChat Files\5990baca09647c352f1321b31faa90a.jpg"/>
                    <pic:cNvPicPr>
                      <a:picLocks noChangeAspect="1"/>
                    </pic:cNvPicPr>
                  </pic:nvPicPr>
                  <pic:blipFill>
                    <a:blip r:embed="rId7"/>
                    <a:stretch>
                      <a:fillRect/>
                    </a:stretch>
                  </pic:blipFill>
                  <pic:spPr>
                    <a:xfrm>
                      <a:off x="0" y="0"/>
                      <a:ext cx="590550" cy="426720"/>
                    </a:xfrm>
                    <a:prstGeom prst="rect">
                      <a:avLst/>
                    </a:prstGeom>
                    <a:noFill/>
                    <a:ln>
                      <a:noFill/>
                    </a:ln>
                  </pic:spPr>
                </pic:pic>
              </a:graphicData>
            </a:graphic>
          </wp:anchor>
        </w:drawing>
      </w: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color w:val="000000"/>
          <w:szCs w:val="21"/>
        </w:rPr>
        <w:t>2021年06月13日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hint="eastAsia" w:eastAsia="隶书" w:cs="Times New Roman"/>
          <w:color w:val="000000"/>
          <w:sz w:val="28"/>
          <w:szCs w:val="28"/>
        </w:rPr>
      </w:pPr>
      <w:r>
        <w:rPr>
          <w:rFonts w:hint="eastAsia" w:eastAsia="隶书"/>
          <w:color w:val="000000"/>
          <w:sz w:val="28"/>
          <w:szCs w:val="28"/>
        </w:rPr>
        <w:t>受审核</w:t>
      </w:r>
      <w:r>
        <w:rPr>
          <w:rFonts w:hint="eastAsia" w:eastAsia="隶书" w:cs="Times New Roman"/>
          <w:color w:val="000000"/>
          <w:sz w:val="28"/>
          <w:szCs w:val="28"/>
        </w:rPr>
        <w:t>方：重庆建恒车科技有限公司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rFonts w:hint="eastAsia"/>
                <w:b/>
                <w:color w:val="000000"/>
                <w:spacing w:val="-10"/>
                <w:szCs w:val="21"/>
              </w:rPr>
            </w:pPr>
            <w:r>
              <w:rPr>
                <w:rFonts w:hint="eastAsia"/>
                <w:b/>
                <w:color w:val="000000"/>
                <w:spacing w:val="-10"/>
                <w:szCs w:val="21"/>
              </w:rPr>
              <w:sym w:font="Wingdings 2" w:char="0052"/>
            </w:r>
            <w:r>
              <w:rPr>
                <w:rFonts w:hint="eastAsia"/>
                <w:b/>
                <w:color w:val="000000"/>
                <w:spacing w:val="-10"/>
                <w:szCs w:val="21"/>
              </w:rPr>
              <w:t>二阶段现场审核前不需提交书面材料的整改项（第项，共项）</w:t>
            </w:r>
          </w:p>
          <w:p>
            <w:pPr>
              <w:spacing w:line="280" w:lineRule="exact"/>
              <w:rPr>
                <w:rFonts w:hint="eastAsia"/>
                <w:b/>
                <w:color w:val="000000"/>
                <w:spacing w:val="-10"/>
                <w:szCs w:val="21"/>
              </w:rPr>
            </w:pPr>
            <w:r>
              <w:rPr>
                <w:rFonts w:hint="eastAsia" w:ascii="宋体" w:hAnsi="宋体" w:eastAsia="宋体" w:cs="Times New Roman"/>
                <w:kern w:val="2"/>
                <w:sz w:val="21"/>
                <w:szCs w:val="22"/>
                <w:lang w:val="en-US" w:eastAsia="zh-CN" w:bidi="ar-SA"/>
              </w:rPr>
              <w:drawing>
                <wp:anchor distT="0" distB="0" distL="114300" distR="114300" simplePos="0" relativeHeight="251663360" behindDoc="0" locked="0" layoutInCell="1" allowOverlap="1">
                  <wp:simplePos x="0" y="0"/>
                  <wp:positionH relativeFrom="column">
                    <wp:posOffset>716280</wp:posOffset>
                  </wp:positionH>
                  <wp:positionV relativeFrom="paragraph">
                    <wp:posOffset>4445</wp:posOffset>
                  </wp:positionV>
                  <wp:extent cx="387985" cy="359410"/>
                  <wp:effectExtent l="0" t="0" r="5715" b="8890"/>
                  <wp:wrapNone/>
                  <wp:docPr id="4" name="图片 3"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45e69cce4380e02713697e955d1ffd9"/>
                          <pic:cNvPicPr>
                            <a:picLocks noChangeAspect="1"/>
                          </pic:cNvPicPr>
                        </pic:nvPicPr>
                        <pic:blipFill>
                          <a:blip r:embed="rId6"/>
                          <a:stretch>
                            <a:fillRect/>
                          </a:stretch>
                        </pic:blipFill>
                        <pic:spPr>
                          <a:xfrm>
                            <a:off x="0" y="0"/>
                            <a:ext cx="387985" cy="359410"/>
                          </a:xfrm>
                          <a:prstGeom prst="rect">
                            <a:avLst/>
                          </a:prstGeom>
                          <a:noFill/>
                          <a:ln>
                            <a:noFill/>
                          </a:ln>
                        </pic:spPr>
                      </pic:pic>
                    </a:graphicData>
                  </a:graphic>
                </wp:anchor>
              </w:drawing>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 xml:space="preserve">日期：    </w:t>
            </w:r>
            <w:bookmarkStart w:id="25" w:name="审核开始日"/>
            <w:r>
              <w:rPr>
                <w:rFonts w:hint="eastAsia"/>
                <w:color w:val="000000"/>
                <w:szCs w:val="21"/>
              </w:rPr>
              <w:t xml:space="preserve">2021年06月13日 </w:t>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受审核方确认：         日期：</w:t>
            </w:r>
            <w:r>
              <w:rPr>
                <w:rFonts w:hint="eastAsia"/>
                <w:color w:val="000000"/>
                <w:szCs w:val="21"/>
              </w:rPr>
              <w:t>2021年06月13日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rFonts w:hint="eastAsia"/>
                <w:b/>
                <w:color w:val="000000"/>
                <w:spacing w:val="-1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p>
          <w:p>
            <w:pPr>
              <w:tabs>
                <w:tab w:val="left" w:pos="8740"/>
              </w:tabs>
              <w:spacing w:line="360" w:lineRule="exact"/>
              <w:rPr>
                <w:b/>
                <w:color w:val="000000"/>
                <w:sz w:val="22"/>
                <w:szCs w:val="22"/>
              </w:rPr>
            </w:pPr>
            <w:r>
              <w:rPr>
                <w:rFonts w:hint="eastAsia" w:ascii="宋体" w:hAnsi="宋体" w:eastAsia="宋体" w:cs="Times New Roman"/>
                <w:kern w:val="2"/>
                <w:sz w:val="21"/>
                <w:szCs w:val="22"/>
                <w:lang w:val="en-US" w:eastAsia="zh-CN" w:bidi="ar-SA"/>
              </w:rPr>
              <w:drawing>
                <wp:anchor distT="0" distB="0" distL="114300" distR="114300" simplePos="0" relativeHeight="251664384" behindDoc="0" locked="0" layoutInCell="1" allowOverlap="1">
                  <wp:simplePos x="0" y="0"/>
                  <wp:positionH relativeFrom="column">
                    <wp:posOffset>657225</wp:posOffset>
                  </wp:positionH>
                  <wp:positionV relativeFrom="paragraph">
                    <wp:posOffset>33020</wp:posOffset>
                  </wp:positionV>
                  <wp:extent cx="387985" cy="359410"/>
                  <wp:effectExtent l="0" t="0" r="5715" b="8890"/>
                  <wp:wrapNone/>
                  <wp:docPr id="5" name="图片 3"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45e69cce4380e02713697e955d1ffd9"/>
                          <pic:cNvPicPr>
                            <a:picLocks noChangeAspect="1"/>
                          </pic:cNvPicPr>
                        </pic:nvPicPr>
                        <pic:blipFill>
                          <a:blip r:embed="rId6"/>
                          <a:stretch>
                            <a:fillRect/>
                          </a:stretch>
                        </pic:blipFill>
                        <pic:spPr>
                          <a:xfrm>
                            <a:off x="0" y="0"/>
                            <a:ext cx="387985" cy="359410"/>
                          </a:xfrm>
                          <a:prstGeom prst="rect">
                            <a:avLst/>
                          </a:prstGeom>
                          <a:noFill/>
                          <a:ln>
                            <a:noFill/>
                          </a:ln>
                        </pic:spPr>
                      </pic:pic>
                    </a:graphicData>
                  </a:graphic>
                </wp:anchor>
              </w:drawing>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color w:val="000000"/>
                <w:szCs w:val="21"/>
              </w:rPr>
              <w:t>2021年06月13日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29C2D63"/>
    <w:rsid w:val="53805192"/>
    <w:rsid w:val="5F7766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批注框文本 字符"/>
    <w:link w:val="3"/>
    <w:semiHidden/>
    <w:locked/>
    <w:uiPriority w:val="99"/>
    <w:rPr>
      <w:rFonts w:ascii="Times New Roman" w:hAnsi="Times New Roman" w:eastAsia="宋体" w:cs="Times New Roman"/>
      <w:sz w:val="18"/>
      <w:szCs w:val="18"/>
    </w:rPr>
  </w:style>
  <w:style w:type="character" w:customStyle="1" w:styleId="11">
    <w:name w:val="页脚 字符"/>
    <w:link w:val="4"/>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2</TotalTime>
  <ScaleCrop>false</ScaleCrop>
  <LinksUpToDate>false</LinksUpToDate>
  <CharactersWithSpaces>6844</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小冉</cp:lastModifiedBy>
  <dcterms:modified xsi:type="dcterms:W3CDTF">2021-06-18T02:39:06Z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