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bookmarkStart w:id="6" w:name="_GoBack"/>
      <w:bookmarkEnd w:id="6"/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重庆建恒车科技有限公司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E：29.03.01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O：29.03.01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E：29.03.01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O：29.03.01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顾客洽谈</w:t>
            </w:r>
            <w:r>
              <w:rPr>
                <w:rFonts w:hint="eastAsia"/>
                <w:sz w:val="21"/>
                <w:szCs w:val="21"/>
                <w:highlight w:val="none"/>
              </w:rPr>
              <w:t>→签订合同→产品销售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→客户验收→售</w:t>
            </w:r>
            <w:r>
              <w:rPr>
                <w:rFonts w:hint="eastAsia"/>
                <w:sz w:val="21"/>
                <w:szCs w:val="21"/>
                <w:highlight w:val="none"/>
              </w:rPr>
              <w:t>后服务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需确认过程：销售过程，也是关键过程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销售服务过程采取销售服务规范控制，针对销售的产品不合格，交货不准时等风险，通过管理方案和预案进行控制。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潜在火灾、固废排放，采取分类收集、管理方案和预案措施管理。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2"/>
              <w:rPr>
                <w:rFonts w:hint="eastAsia" w:ascii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火灾，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中暑</w:t>
            </w:r>
            <w:r>
              <w:rPr>
                <w:rFonts w:hint="eastAsia"/>
                <w:sz w:val="21"/>
                <w:szCs w:val="21"/>
                <w:highlight w:val="none"/>
              </w:rPr>
              <w:t>采取制定管理方案控制，潜在火灾采取应急预案并演练方式进行控制</w:t>
            </w:r>
            <w:r>
              <w:rPr>
                <w:rFonts w:hint="eastAsia" w:ascii="宋体" w:hAnsi="Times New Roman" w:cs="Times New Roman"/>
                <w:color w:val="000000"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中华人民共和国合同法、中华人民共和国产品质量法、中华人民共和国消费者权益法、中华人民共和国环境保护法、中华人民共和国环境影响评价法、中华人民共和国消防法等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 w:hAnsi="宋体" w:eastAsia="宋体" w:cs="Times New Roman"/>
          <w:kern w:val="2"/>
          <w:sz w:val="21"/>
          <w:szCs w:val="22"/>
          <w:lang w:val="en-US" w:eastAsia="zh-CN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4077970</wp:posOffset>
            </wp:positionH>
            <wp:positionV relativeFrom="paragraph">
              <wp:posOffset>98425</wp:posOffset>
            </wp:positionV>
            <wp:extent cx="411480" cy="381000"/>
            <wp:effectExtent l="0" t="0" r="7620" b="0"/>
            <wp:wrapNone/>
            <wp:docPr id="2" name="图片 3" descr="45e69cce4380e02713697e955d1ff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45e69cce4380e02713697e955d1ffd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Times New Roman"/>
          <w:kern w:val="2"/>
          <w:sz w:val="21"/>
          <w:szCs w:val="22"/>
          <w:lang w:val="en-US" w:eastAsia="zh-CN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1216025</wp:posOffset>
            </wp:positionH>
            <wp:positionV relativeFrom="paragraph">
              <wp:posOffset>47625</wp:posOffset>
            </wp:positionV>
            <wp:extent cx="411480" cy="381000"/>
            <wp:effectExtent l="0" t="0" r="7620" b="0"/>
            <wp:wrapNone/>
            <wp:docPr id="1" name="图片 2" descr="45e69cce4380e02713697e955d1ff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45e69cce4380e02713697e955d1ffd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 w:hAnsi="Times New Roman" w:eastAsia="宋体" w:cs="Times New Roman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Times New Roman" w:hAnsi="Times New Roman" w:eastAsia="宋体" w:cs="Times New Roman"/>
          <w:b/>
          <w:sz w:val="22"/>
          <w:szCs w:val="22"/>
        </w:rPr>
        <w:t>2021年6月13日</w:t>
      </w:r>
      <w:r>
        <w:rPr>
          <w:rFonts w:hint="eastAsia" w:ascii="宋体" w:hAnsi="Times New Roman" w:eastAsia="宋体" w:cs="Times New Roman"/>
          <w:b/>
          <w:sz w:val="22"/>
          <w:szCs w:val="22"/>
        </w:rPr>
        <w:t xml:space="preserve"> 审核组长：         日期：2021年6月13日</w:t>
      </w:r>
    </w:p>
    <w:p>
      <w:pPr>
        <w:snapToGrid w:val="0"/>
        <w:rPr>
          <w:rFonts w:ascii="宋体" w:hAnsi="Times New Roman" w:eastAsia="宋体" w:cs="Times New Roman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4A6189E"/>
    <w:rsid w:val="4ADF3F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2021-06-17T14:00:12Z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