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森蓝环保科技（重庆）有限公司</w:t>
      </w:r>
      <w:bookmarkEnd w:id="0"/>
    </w:p>
    <w:p>
      <w:pPr>
        <w:snapToGrid w:val="0"/>
        <w:spacing w:after="98" w:afterLines="30"/>
        <w:ind w:firstLine="321" w:firstLineChars="100"/>
        <w:rPr>
          <w:rFonts w:hint="eastAsia"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852"/>
        <w:gridCol w:w="1123"/>
        <w:gridCol w:w="2560"/>
        <w:gridCol w:w="993"/>
        <w:gridCol w:w="850"/>
        <w:gridCol w:w="219"/>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852" w:type="dxa"/>
            <w:vAlign w:val="center"/>
          </w:tcPr>
          <w:p>
            <w:pPr>
              <w:jc w:val="center"/>
              <w:rPr>
                <w:b/>
                <w:sz w:val="21"/>
                <w:szCs w:val="21"/>
              </w:rPr>
            </w:pPr>
            <w:r>
              <w:rPr>
                <w:rFonts w:hint="eastAsia"/>
                <w:b/>
                <w:sz w:val="21"/>
                <w:szCs w:val="21"/>
              </w:rPr>
              <w:t>职务</w:t>
            </w:r>
          </w:p>
        </w:tc>
        <w:tc>
          <w:tcPr>
            <w:tcW w:w="1123" w:type="dxa"/>
            <w:vAlign w:val="center"/>
          </w:tcPr>
          <w:p>
            <w:pPr>
              <w:jc w:val="center"/>
              <w:rPr>
                <w:b/>
                <w:sz w:val="21"/>
                <w:szCs w:val="21"/>
              </w:rPr>
            </w:pPr>
            <w:r>
              <w:rPr>
                <w:rFonts w:hint="eastAsia"/>
                <w:b/>
                <w:sz w:val="21"/>
                <w:szCs w:val="21"/>
              </w:rPr>
              <w:t>注册级别</w:t>
            </w:r>
          </w:p>
        </w:tc>
        <w:tc>
          <w:tcPr>
            <w:tcW w:w="2560" w:type="dxa"/>
            <w:vAlign w:val="center"/>
          </w:tcPr>
          <w:p>
            <w:pPr>
              <w:jc w:val="center"/>
              <w:rPr>
                <w:b/>
                <w:sz w:val="21"/>
                <w:szCs w:val="21"/>
              </w:rPr>
            </w:pPr>
            <w:r>
              <w:rPr>
                <w:rFonts w:hint="eastAsia"/>
                <w:b/>
                <w:sz w:val="21"/>
                <w:szCs w:val="21"/>
              </w:rPr>
              <w:t>审核员注册号</w:t>
            </w:r>
          </w:p>
        </w:tc>
        <w:tc>
          <w:tcPr>
            <w:tcW w:w="2062" w:type="dxa"/>
            <w:gridSpan w:val="3"/>
            <w:vAlign w:val="center"/>
          </w:tcPr>
          <w:p>
            <w:pPr>
              <w:jc w:val="center"/>
              <w:rPr>
                <w:b/>
                <w:sz w:val="21"/>
                <w:szCs w:val="21"/>
              </w:rPr>
            </w:pPr>
            <w:r>
              <w:rPr>
                <w:rFonts w:hint="eastAsia"/>
                <w:b/>
                <w:sz w:val="21"/>
                <w:szCs w:val="21"/>
              </w:rPr>
              <w:t>专业代码</w:t>
            </w:r>
          </w:p>
        </w:tc>
        <w:tc>
          <w:tcPr>
            <w:tcW w:w="1395"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852" w:type="dxa"/>
            <w:vAlign w:val="center"/>
          </w:tcPr>
          <w:p>
            <w:pPr>
              <w:jc w:val="center"/>
              <w:rPr>
                <w:b/>
                <w:sz w:val="21"/>
                <w:szCs w:val="21"/>
              </w:rPr>
            </w:pPr>
            <w:r>
              <w:rPr>
                <w:b/>
                <w:sz w:val="21"/>
                <w:szCs w:val="21"/>
              </w:rPr>
              <w:t>组长</w:t>
            </w:r>
          </w:p>
        </w:tc>
        <w:tc>
          <w:tcPr>
            <w:tcW w:w="1123"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560" w:type="dxa"/>
            <w:vAlign w:val="center"/>
          </w:tcPr>
          <w:p>
            <w:pPr>
              <w:jc w:val="center"/>
              <w:rPr>
                <w:b/>
                <w:sz w:val="21"/>
                <w:szCs w:val="21"/>
              </w:rPr>
            </w:pPr>
            <w:r>
              <w:rPr>
                <w:b/>
                <w:sz w:val="21"/>
                <w:szCs w:val="21"/>
              </w:rPr>
              <w:t>2019-N1QMS-3093566</w:t>
            </w:r>
          </w:p>
          <w:p>
            <w:pPr>
              <w:jc w:val="center"/>
              <w:rPr>
                <w:b/>
                <w:sz w:val="21"/>
                <w:szCs w:val="21"/>
              </w:rPr>
            </w:pPr>
            <w:r>
              <w:rPr>
                <w:b/>
                <w:sz w:val="21"/>
                <w:szCs w:val="21"/>
              </w:rPr>
              <w:t>2021-N1EMS-3093566</w:t>
            </w:r>
          </w:p>
          <w:p>
            <w:pPr>
              <w:jc w:val="center"/>
              <w:rPr>
                <w:b/>
                <w:sz w:val="21"/>
                <w:szCs w:val="21"/>
              </w:rPr>
            </w:pPr>
            <w:r>
              <w:rPr>
                <w:b/>
                <w:sz w:val="21"/>
                <w:szCs w:val="21"/>
              </w:rPr>
              <w:t>2019-N1OHSMS-2093566</w:t>
            </w:r>
          </w:p>
        </w:tc>
        <w:tc>
          <w:tcPr>
            <w:tcW w:w="2062" w:type="dxa"/>
            <w:gridSpan w:val="3"/>
            <w:vAlign w:val="center"/>
          </w:tcPr>
          <w:p>
            <w:pPr>
              <w:jc w:val="center"/>
              <w:rPr>
                <w:b/>
                <w:sz w:val="21"/>
                <w:szCs w:val="21"/>
              </w:rPr>
            </w:pPr>
            <w:r>
              <w:rPr>
                <w:b/>
                <w:sz w:val="21"/>
                <w:szCs w:val="21"/>
              </w:rPr>
              <w:t>Q:33.02.01,33.02.02</w:t>
            </w:r>
          </w:p>
          <w:p>
            <w:pPr>
              <w:jc w:val="center"/>
              <w:rPr>
                <w:b/>
                <w:sz w:val="21"/>
                <w:szCs w:val="21"/>
              </w:rPr>
            </w:pPr>
            <w:r>
              <w:rPr>
                <w:b/>
                <w:sz w:val="21"/>
                <w:szCs w:val="21"/>
              </w:rPr>
              <w:t>E:33.02.01,33.02.02</w:t>
            </w:r>
          </w:p>
          <w:p>
            <w:pPr>
              <w:jc w:val="center"/>
              <w:rPr>
                <w:b/>
                <w:sz w:val="21"/>
                <w:szCs w:val="21"/>
              </w:rPr>
            </w:pPr>
            <w:r>
              <w:rPr>
                <w:b/>
                <w:sz w:val="21"/>
                <w:szCs w:val="21"/>
              </w:rPr>
              <w:t>O:33.02.01,33.02.02</w:t>
            </w:r>
          </w:p>
        </w:tc>
        <w:tc>
          <w:tcPr>
            <w:tcW w:w="1395" w:type="dxa"/>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852" w:type="dxa"/>
            <w:vAlign w:val="center"/>
          </w:tcPr>
          <w:p>
            <w:pPr>
              <w:jc w:val="center"/>
              <w:rPr>
                <w:b/>
                <w:sz w:val="21"/>
                <w:szCs w:val="21"/>
              </w:rPr>
            </w:pPr>
            <w:r>
              <w:rPr>
                <w:b/>
                <w:sz w:val="21"/>
                <w:szCs w:val="21"/>
              </w:rPr>
              <w:t>组员</w:t>
            </w:r>
          </w:p>
        </w:tc>
        <w:tc>
          <w:tcPr>
            <w:tcW w:w="1123"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560" w:type="dxa"/>
            <w:vAlign w:val="center"/>
          </w:tcPr>
          <w:p>
            <w:pPr>
              <w:jc w:val="center"/>
              <w:rPr>
                <w:b/>
                <w:sz w:val="21"/>
                <w:szCs w:val="21"/>
              </w:rPr>
            </w:pPr>
            <w:r>
              <w:rPr>
                <w:b/>
                <w:sz w:val="21"/>
                <w:szCs w:val="21"/>
              </w:rPr>
              <w:t>2020-N1QMS-1267598</w:t>
            </w:r>
          </w:p>
          <w:p>
            <w:pPr>
              <w:jc w:val="center"/>
              <w:rPr>
                <w:b/>
                <w:sz w:val="21"/>
                <w:szCs w:val="21"/>
              </w:rPr>
            </w:pPr>
            <w:r>
              <w:rPr>
                <w:b/>
                <w:sz w:val="21"/>
                <w:szCs w:val="21"/>
              </w:rPr>
              <w:t>2020-N1EMS-1267598</w:t>
            </w:r>
          </w:p>
        </w:tc>
        <w:tc>
          <w:tcPr>
            <w:tcW w:w="2062" w:type="dxa"/>
            <w:gridSpan w:val="3"/>
            <w:vAlign w:val="center"/>
          </w:tcPr>
          <w:p>
            <w:pPr>
              <w:jc w:val="center"/>
              <w:rPr>
                <w:b/>
                <w:sz w:val="21"/>
                <w:szCs w:val="21"/>
              </w:rPr>
            </w:pPr>
          </w:p>
        </w:tc>
        <w:tc>
          <w:tcPr>
            <w:tcW w:w="1395" w:type="dxa"/>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852" w:type="dxa"/>
            <w:vAlign w:val="center"/>
          </w:tcPr>
          <w:p>
            <w:pPr>
              <w:jc w:val="center"/>
              <w:rPr>
                <w:b/>
                <w:sz w:val="21"/>
                <w:szCs w:val="21"/>
              </w:rPr>
            </w:pPr>
            <w:r>
              <w:rPr>
                <w:b/>
                <w:sz w:val="21"/>
                <w:szCs w:val="21"/>
              </w:rPr>
              <w:t>组员</w:t>
            </w:r>
          </w:p>
        </w:tc>
        <w:tc>
          <w:tcPr>
            <w:tcW w:w="1123" w:type="dxa"/>
            <w:vAlign w:val="center"/>
          </w:tcPr>
          <w:p>
            <w:pPr>
              <w:jc w:val="center"/>
              <w:rPr>
                <w:b/>
                <w:sz w:val="21"/>
                <w:szCs w:val="21"/>
              </w:rPr>
            </w:pPr>
            <w:r>
              <w:rPr>
                <w:b/>
                <w:sz w:val="21"/>
                <w:szCs w:val="21"/>
              </w:rPr>
              <w:t>Q:审核员</w:t>
            </w:r>
          </w:p>
        </w:tc>
        <w:tc>
          <w:tcPr>
            <w:tcW w:w="2560" w:type="dxa"/>
            <w:vAlign w:val="center"/>
          </w:tcPr>
          <w:p>
            <w:pPr>
              <w:jc w:val="center"/>
              <w:rPr>
                <w:b/>
                <w:sz w:val="21"/>
                <w:szCs w:val="21"/>
              </w:rPr>
            </w:pPr>
            <w:r>
              <w:rPr>
                <w:b/>
                <w:sz w:val="21"/>
                <w:szCs w:val="21"/>
              </w:rPr>
              <w:t>2018-N1QMS-2207381</w:t>
            </w:r>
          </w:p>
        </w:tc>
        <w:tc>
          <w:tcPr>
            <w:tcW w:w="2062" w:type="dxa"/>
            <w:gridSpan w:val="3"/>
            <w:vAlign w:val="center"/>
          </w:tcPr>
          <w:p>
            <w:pPr>
              <w:jc w:val="center"/>
              <w:rPr>
                <w:b/>
                <w:sz w:val="21"/>
                <w:szCs w:val="21"/>
              </w:rPr>
            </w:pPr>
            <w:r>
              <w:rPr>
                <w:b/>
                <w:sz w:val="21"/>
                <w:szCs w:val="21"/>
              </w:rPr>
              <w:t>Q:33.02.01,33.02.02</w:t>
            </w:r>
          </w:p>
        </w:tc>
        <w:tc>
          <w:tcPr>
            <w:tcW w:w="1395" w:type="dxa"/>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852" w:type="dxa"/>
          </w:tcPr>
          <w:p>
            <w:pPr>
              <w:rPr>
                <w:b/>
                <w:sz w:val="21"/>
                <w:szCs w:val="21"/>
              </w:rPr>
            </w:pPr>
          </w:p>
        </w:tc>
        <w:tc>
          <w:tcPr>
            <w:tcW w:w="1123" w:type="dxa"/>
          </w:tcPr>
          <w:p>
            <w:pPr>
              <w:rPr>
                <w:b/>
                <w:sz w:val="21"/>
                <w:szCs w:val="21"/>
              </w:rPr>
            </w:pPr>
          </w:p>
        </w:tc>
        <w:tc>
          <w:tcPr>
            <w:tcW w:w="2560" w:type="dxa"/>
          </w:tcPr>
          <w:p>
            <w:pPr>
              <w:rPr>
                <w:b/>
                <w:sz w:val="21"/>
                <w:szCs w:val="21"/>
              </w:rPr>
            </w:pPr>
          </w:p>
        </w:tc>
        <w:tc>
          <w:tcPr>
            <w:tcW w:w="2062" w:type="dxa"/>
            <w:gridSpan w:val="3"/>
          </w:tcPr>
          <w:p>
            <w:pPr>
              <w:rPr>
                <w:b/>
                <w:sz w:val="21"/>
                <w:szCs w:val="21"/>
              </w:rPr>
            </w:pPr>
          </w:p>
        </w:tc>
        <w:tc>
          <w:tcPr>
            <w:tcW w:w="1395"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852" w:type="dxa"/>
            <w:vAlign w:val="center"/>
          </w:tcPr>
          <w:p>
            <w:pPr>
              <w:jc w:val="center"/>
              <w:rPr>
                <w:b/>
                <w:sz w:val="21"/>
                <w:szCs w:val="21"/>
              </w:rPr>
            </w:pPr>
            <w:r>
              <w:rPr>
                <w:rFonts w:hint="eastAsia"/>
                <w:b/>
                <w:sz w:val="21"/>
                <w:szCs w:val="21"/>
              </w:rPr>
              <w:t>角色</w:t>
            </w:r>
          </w:p>
        </w:tc>
        <w:tc>
          <w:tcPr>
            <w:tcW w:w="7140"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852" w:type="dxa"/>
            <w:vAlign w:val="center"/>
          </w:tcPr>
          <w:p>
            <w:pPr>
              <w:jc w:val="center"/>
              <w:rPr>
                <w:b/>
                <w:sz w:val="21"/>
                <w:szCs w:val="21"/>
              </w:rPr>
            </w:pPr>
          </w:p>
        </w:tc>
        <w:tc>
          <w:tcPr>
            <w:tcW w:w="7140"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w:t>
      </w:r>
      <w:bookmarkStart w:id="5" w:name="审核类型"/>
      <w:r>
        <w:rPr>
          <w:rFonts w:hint="eastAsia" w:ascii="宋体" w:hAnsi="宋体"/>
          <w:snapToGrid w:val="0"/>
          <w:color w:val="000000"/>
          <w:kern w:val="0"/>
          <w:sz w:val="18"/>
          <w:szCs w:val="21"/>
          <w:u w:val="single"/>
        </w:rPr>
        <w:t>Q:监查1,E:监查1,O:监查1</w:t>
      </w:r>
      <w:bookmarkEnd w:id="5"/>
      <w:r>
        <w:rPr>
          <w:rFonts w:hint="eastAsia"/>
          <w:b/>
          <w:sz w:val="21"/>
          <w:szCs w:val="21"/>
          <w:u w:val="single"/>
        </w:rPr>
        <w:t>______</w:t>
      </w:r>
      <w:r>
        <w:rPr>
          <w:rFonts w:hint="eastAsia"/>
          <w:b/>
          <w:sz w:val="21"/>
          <w:szCs w:val="21"/>
        </w:rPr>
        <w:t>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2001"/>
        <w:gridCol w:w="245"/>
        <w:gridCol w:w="811"/>
        <w:gridCol w:w="122"/>
        <w:gridCol w:w="1356"/>
        <w:gridCol w:w="1544"/>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535" w:type="dxa"/>
            <w:gridSpan w:val="5"/>
          </w:tcPr>
          <w:p>
            <w:pPr>
              <w:spacing w:line="260" w:lineRule="exact"/>
              <w:rPr>
                <w:rFonts w:ascii="宋体"/>
                <w:b/>
                <w:color w:val="000000" w:themeColor="text1"/>
                <w:sz w:val="21"/>
                <w14:textFill>
                  <w14:solidFill>
                    <w14:schemeClr w14:val="tx1"/>
                  </w14:solidFill>
                </w14:textFill>
              </w:rPr>
            </w:pPr>
            <w:bookmarkStart w:id="10" w:name="组织名称Add"/>
            <w:r>
              <w:rPr>
                <w:rFonts w:ascii="宋体"/>
                <w:b/>
                <w:color w:val="000000" w:themeColor="text1"/>
                <w:sz w:val="21"/>
                <w14:textFill>
                  <w14:solidFill>
                    <w14:schemeClr w14:val="tx1"/>
                  </w14:solidFill>
                </w14:textFill>
              </w:rPr>
              <w:t>森蓝环保科技（重庆）有限公司</w:t>
            </w:r>
            <w:bookmarkEnd w:id="10"/>
          </w:p>
        </w:tc>
        <w:tc>
          <w:tcPr>
            <w:tcW w:w="1544" w:type="dxa"/>
            <w:vAlign w:val="center"/>
          </w:tcPr>
          <w:p>
            <w:pPr>
              <w:spacing w:line="260" w:lineRule="exact"/>
              <w:jc w:val="center"/>
              <w:rPr>
                <w:rFonts w:ascii="宋体"/>
                <w:b/>
                <w:color w:val="000000" w:themeColor="text1"/>
                <w:sz w:val="21"/>
                <w14:textFill>
                  <w14:solidFill>
                    <w14:schemeClr w14:val="tx1"/>
                  </w14:solidFill>
                </w14:textFill>
              </w:rPr>
            </w:pPr>
            <w:r>
              <w:rPr>
                <w:rFonts w:hint="eastAsia" w:ascii="宋体" w:hAnsi="宋体"/>
                <w:b/>
                <w:color w:val="000000" w:themeColor="text1"/>
                <w:sz w:val="21"/>
                <w14:textFill>
                  <w14:solidFill>
                    <w14:schemeClr w14:val="tx1"/>
                  </w14:solidFill>
                </w14:textFill>
              </w:rPr>
              <w:t>组织人数及</w:t>
            </w:r>
          </w:p>
          <w:p>
            <w:pPr>
              <w:spacing w:line="200" w:lineRule="exact"/>
              <w:rPr>
                <w:b/>
                <w:color w:val="000000" w:themeColor="text1"/>
                <w:spacing w:val="-20"/>
                <w14:textFill>
                  <w14:solidFill>
                    <w14:schemeClr w14:val="tx1"/>
                  </w14:solidFill>
                </w14:textFill>
              </w:rPr>
            </w:pPr>
            <w:r>
              <w:rPr>
                <w:rFonts w:hint="eastAsia" w:ascii="宋体" w:hAnsi="宋体"/>
                <w:b/>
                <w:color w:val="000000" w:themeColor="text1"/>
                <w:sz w:val="21"/>
                <w14:textFill>
                  <w14:solidFill>
                    <w14:schemeClr w14:val="tx1"/>
                  </w14:solidFill>
                </w14:textFill>
              </w:rPr>
              <w:t>变动情况核实</w:t>
            </w:r>
          </w:p>
        </w:tc>
        <w:tc>
          <w:tcPr>
            <w:tcW w:w="1509" w:type="dxa"/>
          </w:tcPr>
          <w:p>
            <w:pPr>
              <w:spacing w:line="260" w:lineRule="exact"/>
              <w:rPr>
                <w:rFonts w:hint="default" w:ascii="宋体" w:eastAsia="宋体"/>
                <w:b/>
                <w:color w:val="000000" w:themeColor="text1"/>
                <w:sz w:val="21"/>
                <w:lang w:val="en-US" w:eastAsia="zh-CN"/>
                <w14:textFill>
                  <w14:solidFill>
                    <w14:schemeClr w14:val="tx1"/>
                  </w14:solidFill>
                </w14:textFill>
              </w:rPr>
            </w:pPr>
            <w:r>
              <w:rPr>
                <w:rFonts w:hint="eastAsia" w:ascii="宋体"/>
                <w:b/>
                <w:color w:val="000000" w:themeColor="text1"/>
                <w:sz w:val="21"/>
                <w:lang w:val="en-US" w:eastAsia="zh-CN"/>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535" w:type="dxa"/>
            <w:gridSpan w:val="5"/>
          </w:tcPr>
          <w:p>
            <w:pPr>
              <w:rPr>
                <w:rFonts w:ascii="宋体"/>
                <w:b/>
                <w:sz w:val="21"/>
              </w:rPr>
            </w:pPr>
            <w:bookmarkStart w:id="11" w:name="注册地址"/>
            <w:r>
              <w:rPr>
                <w:rFonts w:ascii="宋体"/>
                <w:b/>
                <w:sz w:val="21"/>
              </w:rPr>
              <w:t>重庆市江北区鹞子丘路68号2幢15-15</w:t>
            </w:r>
            <w:bookmarkEnd w:id="11"/>
          </w:p>
        </w:tc>
        <w:tc>
          <w:tcPr>
            <w:tcW w:w="1544" w:type="dxa"/>
            <w:vMerge w:val="restart"/>
            <w:vAlign w:val="center"/>
          </w:tcPr>
          <w:p>
            <w:pPr>
              <w:jc w:val="center"/>
              <w:rPr>
                <w:rFonts w:ascii="宋体"/>
                <w:b/>
                <w:sz w:val="21"/>
              </w:rPr>
            </w:pPr>
            <w:r>
              <w:rPr>
                <w:rFonts w:hint="eastAsia" w:ascii="宋体" w:hAnsi="宋体"/>
                <w:b/>
                <w:sz w:val="21"/>
              </w:rPr>
              <w:t>邮编</w:t>
            </w:r>
          </w:p>
        </w:tc>
        <w:tc>
          <w:tcPr>
            <w:tcW w:w="1509" w:type="dxa"/>
          </w:tcPr>
          <w:p>
            <w:pPr>
              <w:rPr>
                <w:rFonts w:ascii="宋体"/>
                <w:b/>
                <w:sz w:val="21"/>
              </w:rPr>
            </w:pPr>
            <w:bookmarkStart w:id="12" w:name="注册邮编"/>
            <w:r>
              <w:rPr>
                <w:rFonts w:ascii="宋体"/>
                <w:b/>
                <w:sz w:val="21"/>
              </w:rPr>
              <w:t>400021</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535" w:type="dxa"/>
            <w:gridSpan w:val="5"/>
          </w:tcPr>
          <w:p>
            <w:pPr>
              <w:rPr>
                <w:rFonts w:ascii="宋体"/>
                <w:b/>
                <w:sz w:val="21"/>
              </w:rPr>
            </w:pPr>
            <w:bookmarkStart w:id="13" w:name="生产地址"/>
            <w:r>
              <w:rPr>
                <w:rFonts w:ascii="宋体"/>
                <w:b/>
                <w:sz w:val="21"/>
              </w:rPr>
              <w:t>重庆市江北区鹞子丘路68号2幢15-15</w:t>
            </w:r>
            <w:bookmarkEnd w:id="13"/>
          </w:p>
        </w:tc>
        <w:tc>
          <w:tcPr>
            <w:tcW w:w="1544" w:type="dxa"/>
            <w:vMerge w:val="continue"/>
            <w:vAlign w:val="center"/>
          </w:tcPr>
          <w:p>
            <w:pPr>
              <w:jc w:val="center"/>
              <w:rPr>
                <w:rFonts w:ascii="宋体"/>
                <w:b/>
                <w:sz w:val="21"/>
              </w:rPr>
            </w:pPr>
          </w:p>
        </w:tc>
        <w:tc>
          <w:tcPr>
            <w:tcW w:w="1509" w:type="dxa"/>
          </w:tcPr>
          <w:p>
            <w:pPr>
              <w:rPr>
                <w:rFonts w:ascii="宋体"/>
                <w:b/>
                <w:sz w:val="21"/>
              </w:rPr>
            </w:pPr>
            <w:bookmarkStart w:id="14" w:name="办公邮编"/>
            <w:r>
              <w:rPr>
                <w:rFonts w:ascii="宋体"/>
                <w:b/>
                <w:sz w:val="21"/>
              </w:rPr>
              <w:t>400021</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535" w:type="dxa"/>
            <w:gridSpan w:val="5"/>
          </w:tcPr>
          <w:p>
            <w:pPr>
              <w:rPr>
                <w:rFonts w:ascii="宋体"/>
                <w:b/>
                <w:sz w:val="21"/>
              </w:rPr>
            </w:pPr>
            <w:bookmarkStart w:id="15" w:name="生产地址Add"/>
            <w:r>
              <w:rPr>
                <w:rFonts w:ascii="宋体"/>
                <w:b/>
                <w:sz w:val="21"/>
              </w:rPr>
              <w:t>重庆市江北区鹞子丘路68号2幢15-15</w:t>
            </w:r>
            <w:bookmarkEnd w:id="15"/>
          </w:p>
        </w:tc>
        <w:tc>
          <w:tcPr>
            <w:tcW w:w="1544" w:type="dxa"/>
            <w:vMerge w:val="continue"/>
            <w:vAlign w:val="center"/>
          </w:tcPr>
          <w:p>
            <w:pPr>
              <w:jc w:val="center"/>
              <w:rPr>
                <w:rFonts w:ascii="宋体"/>
                <w:b/>
                <w:sz w:val="21"/>
              </w:rPr>
            </w:pPr>
          </w:p>
        </w:tc>
        <w:tc>
          <w:tcPr>
            <w:tcW w:w="1509" w:type="dxa"/>
          </w:tcPr>
          <w:p>
            <w:pPr>
              <w:rPr>
                <w:rFonts w:ascii="宋体"/>
                <w:b/>
                <w:sz w:val="21"/>
              </w:rPr>
            </w:pPr>
            <w:bookmarkStart w:id="16" w:name="生产邮编"/>
            <w:r>
              <w:rPr>
                <w:rFonts w:ascii="宋体"/>
                <w:b/>
                <w:sz w:val="21"/>
              </w:rPr>
              <w:t>400021</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2001" w:type="dxa"/>
          </w:tcPr>
          <w:p>
            <w:pPr>
              <w:rPr>
                <w:rFonts w:ascii="宋体"/>
                <w:b/>
                <w:sz w:val="21"/>
              </w:rPr>
            </w:pPr>
            <w:bookmarkStart w:id="17" w:name="联系人"/>
            <w:r>
              <w:rPr>
                <w:rFonts w:ascii="宋体"/>
                <w:b/>
                <w:sz w:val="21"/>
              </w:rPr>
              <w:t>何振华</w:t>
            </w:r>
            <w:bookmarkEnd w:id="17"/>
          </w:p>
        </w:tc>
        <w:tc>
          <w:tcPr>
            <w:tcW w:w="1056" w:type="dxa"/>
            <w:gridSpan w:val="2"/>
            <w:vAlign w:val="center"/>
          </w:tcPr>
          <w:p>
            <w:pPr>
              <w:jc w:val="center"/>
              <w:rPr>
                <w:rFonts w:ascii="宋体"/>
                <w:b/>
                <w:sz w:val="21"/>
              </w:rPr>
            </w:pPr>
            <w:r>
              <w:rPr>
                <w:rFonts w:hint="eastAsia" w:ascii="宋体" w:hAnsi="宋体"/>
                <w:b/>
                <w:sz w:val="21"/>
              </w:rPr>
              <w:t>电话</w:t>
            </w:r>
            <w:r>
              <w:rPr>
                <w:b/>
                <w:sz w:val="16"/>
                <w:szCs w:val="16"/>
              </w:rPr>
              <w:t>.</w:t>
            </w:r>
          </w:p>
        </w:tc>
        <w:tc>
          <w:tcPr>
            <w:tcW w:w="1478" w:type="dxa"/>
            <w:gridSpan w:val="2"/>
            <w:vAlign w:val="center"/>
          </w:tcPr>
          <w:p>
            <w:pPr>
              <w:jc w:val="center"/>
              <w:rPr>
                <w:rFonts w:ascii="宋体"/>
                <w:b/>
                <w:sz w:val="21"/>
              </w:rPr>
            </w:pPr>
            <w:bookmarkStart w:id="18" w:name="联系人电话Add"/>
            <w:r>
              <w:rPr>
                <w:rFonts w:ascii="宋体"/>
                <w:b/>
                <w:sz w:val="21"/>
              </w:rPr>
              <w:t>18983922721</w:t>
            </w:r>
            <w:bookmarkEnd w:id="18"/>
          </w:p>
        </w:tc>
        <w:tc>
          <w:tcPr>
            <w:tcW w:w="1544" w:type="dxa"/>
            <w:vAlign w:val="center"/>
          </w:tcPr>
          <w:p>
            <w:pPr>
              <w:jc w:val="center"/>
              <w:rPr>
                <w:rFonts w:ascii="宋体"/>
                <w:b/>
                <w:sz w:val="21"/>
              </w:rPr>
            </w:pPr>
            <w:r>
              <w:rPr>
                <w:rFonts w:hint="eastAsia" w:ascii="宋体" w:hAnsi="宋体"/>
                <w:b/>
                <w:sz w:val="21"/>
              </w:rPr>
              <w:t>传真</w:t>
            </w:r>
          </w:p>
        </w:tc>
        <w:tc>
          <w:tcPr>
            <w:tcW w:w="1509"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001" w:type="dxa"/>
          </w:tcPr>
          <w:p>
            <w:pPr>
              <w:rPr>
                <w:rFonts w:ascii="宋体" w:hAnsi="宋体"/>
                <w:b/>
                <w:sz w:val="21"/>
                <w:szCs w:val="21"/>
              </w:rPr>
            </w:pPr>
            <w:bookmarkStart w:id="20" w:name="法人"/>
            <w:r>
              <w:rPr>
                <w:rFonts w:ascii="宋体" w:hAnsi="宋体"/>
                <w:b/>
                <w:sz w:val="21"/>
                <w:szCs w:val="21"/>
              </w:rPr>
              <w:t>何振华</w:t>
            </w:r>
            <w:bookmarkEnd w:id="20"/>
          </w:p>
        </w:tc>
        <w:tc>
          <w:tcPr>
            <w:tcW w:w="1056" w:type="dxa"/>
            <w:gridSpan w:val="2"/>
            <w:vAlign w:val="center"/>
          </w:tcPr>
          <w:p>
            <w:pPr>
              <w:jc w:val="center"/>
              <w:rPr>
                <w:rFonts w:ascii="宋体" w:hAnsi="宋体"/>
                <w:b/>
                <w:sz w:val="21"/>
                <w:szCs w:val="21"/>
              </w:rPr>
            </w:pPr>
            <w:r>
              <w:rPr>
                <w:rFonts w:hint="eastAsia" w:ascii="宋体" w:hAnsi="宋体"/>
                <w:b/>
                <w:sz w:val="21"/>
                <w:szCs w:val="21"/>
              </w:rPr>
              <w:t>总经理</w:t>
            </w:r>
          </w:p>
        </w:tc>
        <w:tc>
          <w:tcPr>
            <w:tcW w:w="1478" w:type="dxa"/>
            <w:gridSpan w:val="2"/>
          </w:tcPr>
          <w:p>
            <w:pPr>
              <w:rPr>
                <w:rFonts w:ascii="宋体" w:hAnsi="宋体"/>
                <w:b/>
                <w:sz w:val="21"/>
                <w:szCs w:val="21"/>
              </w:rPr>
            </w:pPr>
            <w:r>
              <w:rPr>
                <w:rFonts w:ascii="宋体" w:hAnsi="宋体"/>
                <w:b/>
                <w:sz w:val="21"/>
                <w:szCs w:val="21"/>
              </w:rPr>
              <w:t>何振华</w:t>
            </w:r>
          </w:p>
        </w:tc>
        <w:tc>
          <w:tcPr>
            <w:tcW w:w="1544" w:type="dxa"/>
            <w:vAlign w:val="center"/>
          </w:tcPr>
          <w:p>
            <w:pPr>
              <w:jc w:val="center"/>
              <w:rPr>
                <w:rFonts w:ascii="宋体" w:hAnsi="宋体"/>
                <w:b/>
                <w:sz w:val="21"/>
                <w:szCs w:val="21"/>
              </w:rPr>
            </w:pPr>
            <w:r>
              <w:rPr>
                <w:rFonts w:hint="eastAsia" w:ascii="宋体" w:hAnsi="宋体"/>
                <w:b/>
                <w:sz w:val="21"/>
                <w:szCs w:val="21"/>
              </w:rPr>
              <w:t>管理者代表</w:t>
            </w:r>
          </w:p>
        </w:tc>
        <w:tc>
          <w:tcPr>
            <w:tcW w:w="1509" w:type="dxa"/>
          </w:tcPr>
          <w:p>
            <w:pPr>
              <w:rPr>
                <w:rFonts w:ascii="宋体"/>
                <w:b/>
                <w:sz w:val="21"/>
              </w:rPr>
            </w:pPr>
            <w:bookmarkStart w:id="21" w:name="管理者代表"/>
            <w:r>
              <w:rPr>
                <w:rFonts w:ascii="宋体"/>
                <w:b/>
                <w:sz w:val="21"/>
              </w:rPr>
              <w:t>何振华</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179" w:type="dxa"/>
            <w:gridSpan w:val="4"/>
            <w:vAlign w:val="center"/>
          </w:tcPr>
          <w:p>
            <w:pPr>
              <w:rPr>
                <w:rFonts w:ascii="宋体" w:hAnsi="宋体"/>
                <w:b/>
                <w:sz w:val="21"/>
                <w:szCs w:val="21"/>
              </w:rPr>
            </w:pPr>
            <w:bookmarkStart w:id="22" w:name="审核日期"/>
            <w:r>
              <w:rPr>
                <w:rFonts w:ascii="宋体" w:hAnsi="宋体"/>
                <w:b/>
                <w:sz w:val="21"/>
                <w:szCs w:val="21"/>
              </w:rPr>
              <w:t>2021年06月16日 上午至2021年06月16日 下午</w:t>
            </w:r>
            <w:bookmarkEnd w:id="22"/>
          </w:p>
        </w:tc>
        <w:tc>
          <w:tcPr>
            <w:tcW w:w="1356" w:type="dxa"/>
            <w:vAlign w:val="center"/>
          </w:tcPr>
          <w:p>
            <w:pPr>
              <w:rPr>
                <w:rFonts w:ascii="宋体" w:hAnsi="宋体"/>
                <w:b/>
                <w:sz w:val="21"/>
                <w:szCs w:val="21"/>
              </w:rPr>
            </w:pPr>
            <w:r>
              <w:rPr>
                <w:rFonts w:hint="eastAsia" w:ascii="宋体" w:hAnsi="宋体"/>
                <w:b/>
                <w:sz w:val="21"/>
                <w:szCs w:val="21"/>
              </w:rPr>
              <w:t>一体化审核</w:t>
            </w:r>
          </w:p>
        </w:tc>
        <w:tc>
          <w:tcPr>
            <w:tcW w:w="3053" w:type="dxa"/>
            <w:gridSpan w:val="2"/>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7"/>
          </w:tcPr>
          <w:p>
            <w:pPr>
              <w:spacing w:line="0" w:lineRule="atLeast"/>
              <w:jc w:val="lef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：计算机软件开发及信息系统集成</w:t>
            </w:r>
          </w:p>
          <w:p>
            <w:pPr>
              <w:spacing w:line="0" w:lineRule="atLeast"/>
              <w:jc w:val="left"/>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：计算机软件开发及信息系统集成所涉及的相关环境管理活动</w:t>
            </w:r>
          </w:p>
          <w:p>
            <w:pPr>
              <w:spacing w:line="0" w:lineRule="atLeast"/>
              <w:jc w:val="lef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 xml:space="preserve">：计算机软件开发及信息系统集成所涉及的相关职业健康安全管理活动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7"/>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246" w:type="dxa"/>
            <w:gridSpan w:val="2"/>
          </w:tcPr>
          <w:p>
            <w:pPr>
              <w:spacing w:line="260" w:lineRule="exact"/>
              <w:rPr>
                <w:rFonts w:ascii="宋体" w:hAnsi="宋体"/>
                <w:b/>
                <w:sz w:val="21"/>
                <w:szCs w:val="21"/>
              </w:rPr>
            </w:pPr>
            <w:bookmarkStart w:id="26" w:name="专业代码"/>
            <w:r>
              <w:rPr>
                <w:rFonts w:ascii="宋体" w:hAnsi="宋体"/>
                <w:b/>
                <w:sz w:val="21"/>
                <w:szCs w:val="21"/>
              </w:rPr>
              <w:t>Q：33.02.01;33.02.02</w:t>
            </w:r>
          </w:p>
          <w:p>
            <w:pPr>
              <w:spacing w:line="260" w:lineRule="exact"/>
              <w:rPr>
                <w:rFonts w:ascii="宋体" w:hAnsi="宋体"/>
                <w:b/>
                <w:sz w:val="21"/>
                <w:szCs w:val="21"/>
              </w:rPr>
            </w:pPr>
            <w:r>
              <w:rPr>
                <w:rFonts w:ascii="宋体" w:hAnsi="宋体"/>
                <w:b/>
                <w:sz w:val="21"/>
                <w:szCs w:val="21"/>
              </w:rPr>
              <w:t>E：33.02.01;33.02.02</w:t>
            </w:r>
          </w:p>
          <w:p>
            <w:pPr>
              <w:spacing w:line="260" w:lineRule="exact"/>
              <w:rPr>
                <w:rFonts w:ascii="宋体" w:hAnsi="宋体"/>
                <w:b/>
                <w:sz w:val="21"/>
                <w:szCs w:val="21"/>
              </w:rPr>
            </w:pPr>
            <w:r>
              <w:rPr>
                <w:rFonts w:ascii="宋体" w:hAnsi="宋体"/>
                <w:b/>
                <w:sz w:val="21"/>
                <w:szCs w:val="21"/>
              </w:rPr>
              <w:t>O：33.02.01;33.02.02</w:t>
            </w:r>
            <w:bookmarkEnd w:id="26"/>
          </w:p>
        </w:tc>
        <w:tc>
          <w:tcPr>
            <w:tcW w:w="933" w:type="dxa"/>
            <w:gridSpan w:val="2"/>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356" w:type="dxa"/>
          </w:tcPr>
          <w:p>
            <w:pPr>
              <w:spacing w:line="260" w:lineRule="exact"/>
              <w:rPr>
                <w:rFonts w:hint="eastAsia" w:ascii="宋体" w:hAnsi="宋体"/>
                <w:b/>
                <w:sz w:val="21"/>
                <w:szCs w:val="21"/>
                <w:lang w:val="en-US" w:eastAsia="zh-CN"/>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2023.03.31</w:t>
            </w:r>
          </w:p>
        </w:tc>
        <w:tc>
          <w:tcPr>
            <w:tcW w:w="1544" w:type="dxa"/>
            <w:vAlign w:val="center"/>
          </w:tcPr>
          <w:p>
            <w:pPr>
              <w:spacing w:line="260" w:lineRule="exact"/>
              <w:rPr>
                <w:rFonts w:hint="eastAsia" w:ascii="宋体" w:hAnsi="宋体"/>
                <w:b/>
                <w:sz w:val="21"/>
                <w:szCs w:val="21"/>
                <w:lang w:val="en-US" w:eastAsia="zh-CN"/>
              </w:rPr>
            </w:pPr>
            <w:r>
              <w:rPr>
                <w:rFonts w:hint="eastAsia" w:ascii="宋体" w:hAnsi="宋体"/>
                <w:b/>
                <w:sz w:val="21"/>
                <w:szCs w:val="21"/>
                <w:lang w:val="en-US" w:eastAsia="zh-CN"/>
              </w:rPr>
              <w:t>上年度</w:t>
            </w:r>
          </w:p>
          <w:p>
            <w:pPr>
              <w:spacing w:line="260" w:lineRule="exact"/>
              <w:rPr>
                <w:rFonts w:hint="eastAsia" w:ascii="宋体" w:hAnsi="宋体"/>
                <w:b/>
                <w:sz w:val="21"/>
                <w:szCs w:val="21"/>
                <w:lang w:val="en-US" w:eastAsia="zh-CN"/>
              </w:rPr>
            </w:pPr>
            <w:r>
              <w:rPr>
                <w:rFonts w:hint="eastAsia" w:ascii="宋体" w:hAnsi="宋体"/>
                <w:b/>
                <w:sz w:val="21"/>
                <w:szCs w:val="21"/>
                <w:lang w:val="en-US" w:eastAsia="zh-CN"/>
              </w:rPr>
              <w:t>审核日期</w:t>
            </w:r>
          </w:p>
        </w:tc>
        <w:tc>
          <w:tcPr>
            <w:tcW w:w="1509" w:type="dxa"/>
          </w:tcPr>
          <w:p>
            <w:pPr>
              <w:spacing w:line="260" w:lineRule="exact"/>
              <w:rPr>
                <w:rFonts w:hint="eastAsia" w:ascii="宋体" w:hAnsi="宋体"/>
                <w:b/>
                <w:sz w:val="21"/>
                <w:szCs w:val="21"/>
                <w:lang w:val="en-US" w:eastAsia="zh-CN"/>
              </w:rPr>
            </w:pPr>
          </w:p>
          <w:p>
            <w:pPr>
              <w:spacing w:line="260" w:lineRule="exact"/>
              <w:rPr>
                <w:rFonts w:hint="eastAsia" w:ascii="宋体" w:hAnsi="宋体"/>
                <w:b/>
                <w:sz w:val="21"/>
                <w:szCs w:val="21"/>
                <w:lang w:val="en-US" w:eastAsia="zh-CN"/>
              </w:rPr>
            </w:pPr>
            <w:r>
              <w:rPr>
                <w:rFonts w:hint="eastAsia" w:ascii="宋体" w:hAnsi="宋体"/>
                <w:b/>
                <w:sz w:val="21"/>
                <w:szCs w:val="21"/>
                <w:lang w:val="en-US" w:eastAsia="zh-CN"/>
              </w:rPr>
              <w:t>2020.03.24-25</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2020年03月25日</w:t>
      </w:r>
      <w:r>
        <w:rPr>
          <w:rFonts w:hint="eastAsia" w:ascii="宋体" w:hAnsi="宋体"/>
          <w:b/>
          <w:sz w:val="21"/>
          <w:szCs w:val="21"/>
        </w:rPr>
        <w:t>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16</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color w:val="000000" w:themeColor="text1"/>
                <w:sz w:val="21"/>
                <w:szCs w:val="21"/>
              </w:rPr>
              <w:t>组织对内外部因素、相关方需求和期望进行了充分的识别，策划和实施有效。组织确定了体系的边界，基本适用。管理体系全条款适用</w:t>
            </w:r>
            <w:r>
              <w:rPr>
                <w:rFonts w:hint="eastAsia" w:ascii="华文楷体" w:hAnsi="华文楷体" w:eastAsia="华文楷体"/>
                <w:bCs/>
                <w:i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1"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themeColor="text1"/>
                <w:sz w:val="21"/>
                <w:szCs w:val="21"/>
              </w:rPr>
            </w:pPr>
            <w:r>
              <w:rPr>
                <w:b/>
                <w:color w:val="000000" w:themeColor="text1"/>
                <w:sz w:val="21"/>
                <w:szCs w:val="21"/>
              </w:rPr>
              <w:t>2、</w:t>
            </w:r>
            <w:r>
              <w:rPr>
                <w:rFonts w:hint="eastAsia"/>
                <w:b/>
                <w:color w:val="000000" w:themeColor="text1"/>
                <w:sz w:val="21"/>
                <w:szCs w:val="21"/>
              </w:rPr>
              <w:t>相关方需求和期望识别情况</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color w:val="000000" w:themeColor="text1"/>
                <w:sz w:val="21"/>
                <w:szCs w:val="21"/>
              </w:rPr>
            </w:pPr>
            <w:r>
              <w:rPr>
                <w:b/>
                <w:color w:val="000000" w:themeColor="text1"/>
                <w:sz w:val="21"/>
                <w:szCs w:val="21"/>
              </w:rPr>
              <w:t>3.</w:t>
            </w:r>
            <w:r>
              <w:rPr>
                <w:rFonts w:hint="eastAsia"/>
                <w:b/>
                <w:color w:val="000000" w:themeColor="text1"/>
                <w:sz w:val="21"/>
                <w:szCs w:val="21"/>
              </w:rPr>
              <w:t>■</w:t>
            </w:r>
            <w:r>
              <w:rPr>
                <w:rFonts w:hint="eastAsia" w:ascii="宋体" w:hAnsi="宋体"/>
                <w:b/>
                <w:color w:val="000000" w:themeColor="text1"/>
                <w:sz w:val="21"/>
                <w:szCs w:val="21"/>
              </w:rPr>
              <w:t>质量/■环境/■职业健康安全方针（组织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p>
          <w:p>
            <w:pPr>
              <w:rPr>
                <w:rFonts w:ascii="宋体" w:hAnsi="宋体"/>
                <w:color w:val="000000" w:themeColor="text1"/>
                <w:sz w:val="21"/>
                <w:szCs w:val="21"/>
              </w:rPr>
            </w:pPr>
            <w:r>
              <w:rPr>
                <w:rFonts w:hint="eastAsia" w:ascii="宋体" w:hAnsi="宋体"/>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质量方针：</w:t>
            </w:r>
          </w:p>
          <w:p>
            <w:pPr>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“科学领先，顾客满意，持续改进，行业领先，质量一流，服务一流”。</w:t>
            </w:r>
          </w:p>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环境、职业健康安全方针：</w:t>
            </w:r>
          </w:p>
          <w:p>
            <w:pPr>
              <w:spacing w:line="360" w:lineRule="auto"/>
              <w:rPr>
                <w:rFonts w:ascii="Times New Roman" w:hAnsi="Times New Roman" w:eastAsia="宋体" w:cs="Times New Roman"/>
                <w:b/>
                <w:color w:val="000000" w:themeColor="text1"/>
                <w:kern w:val="2"/>
                <w:sz w:val="21"/>
                <w:szCs w:val="21"/>
                <w:lang w:val="en-US" w:eastAsia="zh-CN" w:bidi="ar-SA"/>
              </w:rPr>
            </w:pPr>
            <w:r>
              <w:rPr>
                <w:rFonts w:hint="eastAsia" w:asciiTheme="minorEastAsia" w:hAnsiTheme="minorEastAsia" w:eastAsiaTheme="minorEastAsia" w:cstheme="minorEastAsia"/>
                <w:sz w:val="21"/>
                <w:szCs w:val="21"/>
              </w:rPr>
              <w:t>“预防为主，遵规守法，确保环境安全；以人为本，持续改进，实现平安和谐”。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风险识别与控制策划（QMS）</w:t>
            </w:r>
          </w:p>
          <w:p>
            <w:pPr>
              <w:spacing w:line="240" w:lineRule="exact"/>
              <w:ind w:firstLine="210" w:firstLineChars="100"/>
              <w:rPr>
                <w:rFonts w:ascii="宋体" w:hAnsi="宋体" w:eastAsia="宋体" w:cs="Times New Roman"/>
                <w:color w:val="000000" w:themeColor="text1"/>
                <w:kern w:val="2"/>
                <w:sz w:val="21"/>
                <w:szCs w:val="21"/>
                <w:lang w:val="en-US" w:eastAsia="zh-CN" w:bidi="ar-SA"/>
              </w:rPr>
            </w:pPr>
            <w:r>
              <w:rPr>
                <w:rFonts w:hint="eastAsia" w:ascii="宋体" w:hAnsi="宋体"/>
                <w:color w:val="000000" w:themeColor="text1"/>
                <w:sz w:val="21"/>
                <w:szCs w:val="21"/>
              </w:rPr>
              <w:t>制定并实施了相关程序和安全生产管理制度</w:t>
            </w:r>
            <w:r>
              <w:rPr>
                <w:rFonts w:ascii="宋体" w:hAnsi="宋体"/>
                <w:color w:val="000000" w:themeColor="text1"/>
                <w:sz w:val="21"/>
                <w:szCs w:val="21"/>
              </w:rPr>
              <w:t>，</w:t>
            </w:r>
            <w:r>
              <w:rPr>
                <w:rFonts w:hint="eastAsia" w:ascii="宋体" w:hAnsi="宋体"/>
                <w:color w:val="000000" w:themeColor="text1"/>
                <w:sz w:val="21"/>
                <w:szCs w:val="2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1"/>
                <w:szCs w:val="21"/>
              </w:rPr>
            </w:pPr>
            <w:r>
              <w:rPr>
                <w:rFonts w:hint="eastAsia"/>
                <w:b/>
                <w:color w:val="000000" w:themeColor="text1"/>
                <w:sz w:val="21"/>
                <w:szCs w:val="21"/>
              </w:rPr>
              <w:t>5.</w:t>
            </w:r>
            <w:r>
              <w:rPr>
                <w:b/>
                <w:color w:val="000000" w:themeColor="text1"/>
                <w:sz w:val="21"/>
                <w:szCs w:val="21"/>
              </w:rPr>
              <w:t>QMS</w:t>
            </w:r>
            <w:r>
              <w:rPr>
                <w:rFonts w:hint="eastAsia" w:ascii="宋体" w:hAnsi="宋体"/>
                <w:b/>
                <w:color w:val="000000" w:themeColor="text1"/>
                <w:sz w:val="21"/>
                <w:szCs w:val="21"/>
              </w:rPr>
              <w:t>过程</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质量管理体系过程有：合同评审、过程监控管理；产品验收管理；监视和测量设备管理；。</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其中关键过程有：运输服务过程。</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 xml:space="preserve">需要确认过程：  </w:t>
            </w:r>
          </w:p>
          <w:p>
            <w:pPr>
              <w:tabs>
                <w:tab w:val="left" w:pos="540"/>
              </w:tabs>
              <w:spacing w:line="300" w:lineRule="exact"/>
              <w:ind w:left="211" w:leftChars="0" w:hanging="211" w:hangingChars="100"/>
              <w:rPr>
                <w:rFonts w:ascii="宋体" w:hAnsi="宋体" w:eastAsia="宋体" w:cs="Times New Roman"/>
                <w:b/>
                <w:color w:val="000000" w:themeColor="text1"/>
                <w:kern w:val="2"/>
                <w:sz w:val="21"/>
                <w:szCs w:val="21"/>
                <w:lang w:val="en-US" w:eastAsia="zh-CN" w:bidi="ar-SA"/>
              </w:rPr>
            </w:pPr>
            <w:r>
              <w:rPr>
                <w:b/>
                <w:color w:val="000000" w:themeColor="text1"/>
                <w:sz w:val="21"/>
                <w:szCs w:val="21"/>
              </w:rPr>
              <w:pict>
                <v:shape id="_x0000_s2053" o:spid="_x0000_s2053" o:spt="32" type="#_x0000_t32" style="position:absolute;left:0pt;margin-left:157.9pt;margin-top:12.75pt;height:0pt;width:261.75pt;z-index:251665408;mso-width-relative:page;mso-height-relative:page;" o:connectortype="straight" filled="f" coordsize="21600,21600">
                  <v:path arrowok="t"/>
                  <v:fill on="f" focussize="0,0"/>
                  <v:stroke/>
                  <v:imagedata o:title=""/>
                  <o:lock v:ext="edit"/>
                </v:shape>
              </w:pict>
            </w:r>
            <w:r>
              <w:rPr>
                <w:rFonts w:ascii="宋体" w:hAnsi="宋体"/>
                <w:b/>
                <w:color w:val="000000" w:themeColor="text1"/>
                <w:sz w:val="21"/>
                <w:szCs w:val="21"/>
              </w:rPr>
              <w:pict>
                <v:shape id="_x0000_s2054" o:spid="_x0000_s2054" o:spt="32" type="#_x0000_t32" style="position:absolute;left:0pt;margin-left:55.15pt;margin-top:12.75pt;height:0pt;width:42pt;z-index:25166438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1"/>
                <w:szCs w:val="21"/>
              </w:rPr>
              <w:t>不适用条款</w:t>
            </w:r>
            <w:r>
              <w:rPr>
                <w:rFonts w:hint="eastAsia" w:ascii="宋体" w:hAnsi="宋体"/>
                <w:b/>
                <w:color w:val="000000" w:themeColor="text1"/>
                <w:sz w:val="21"/>
                <w:szCs w:val="21"/>
                <w:lang w:val="en-US" w:eastAsia="zh-CN"/>
              </w:rPr>
              <w:t xml:space="preserve">   无    </w:t>
            </w:r>
            <w:r>
              <w:rPr>
                <w:rFonts w:hint="eastAsia" w:ascii="宋体" w:hAnsi="宋体"/>
                <w:b/>
                <w:color w:val="000000" w:themeColor="text1"/>
                <w:sz w:val="21"/>
                <w:szCs w:val="21"/>
              </w:rPr>
              <w:t>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环境因素</w:t>
            </w:r>
            <w:r>
              <w:rPr>
                <w:rFonts w:hint="eastAsia" w:ascii="宋体" w:hAnsi="宋体"/>
                <w:b/>
                <w:color w:val="000000" w:themeColor="text1"/>
                <w:sz w:val="21"/>
                <w:szCs w:val="21"/>
              </w:rPr>
              <w:t>辨识是否充分、重要环境因素评价合理性，</w:t>
            </w:r>
            <w:r>
              <w:rPr>
                <w:rFonts w:hint="eastAsia" w:ascii="宋体" w:hAnsi="宋体"/>
                <w:b/>
                <w:color w:val="000000" w:themeColor="text1"/>
                <w:spacing w:val="-8"/>
                <w:sz w:val="21"/>
                <w:szCs w:val="21"/>
              </w:rPr>
              <w:t>以及环境因素动态变更的及时性等）</w:t>
            </w:r>
          </w:p>
          <w:p>
            <w:pPr>
              <w:spacing w:line="300" w:lineRule="exact"/>
              <w:ind w:firstLine="315" w:firstLineChars="150"/>
              <w:rPr>
                <w:rFonts w:cs="Times New Roman" w:asciiTheme="minorEastAsia" w:hAnsiTheme="minorEastAsia" w:eastAsiaTheme="minorEastAsia"/>
                <w:b/>
                <w:color w:val="000000" w:themeColor="text1"/>
                <w:kern w:val="2"/>
                <w:sz w:val="21"/>
                <w:szCs w:val="21"/>
                <w:lang w:val="en-US" w:eastAsia="zh-CN" w:bidi="ar-SA"/>
              </w:rPr>
            </w:pPr>
            <w:r>
              <w:rPr>
                <w:rFonts w:hint="eastAsia" w:asciiTheme="minorEastAsia" w:hAnsiTheme="minorEastAsia" w:eastAsiaTheme="minor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职业健康安全危险源</w:t>
            </w:r>
            <w:r>
              <w:rPr>
                <w:rFonts w:hint="eastAsia" w:ascii="宋体" w:hAnsi="宋体"/>
                <w:b/>
                <w:color w:val="000000" w:themeColor="text1"/>
                <w:sz w:val="21"/>
                <w:szCs w:val="21"/>
              </w:rPr>
              <w:t>辨识是否充分、风险评价合理性，</w:t>
            </w:r>
            <w:r>
              <w:rPr>
                <w:rFonts w:hint="eastAsia" w:ascii="宋体" w:hAnsi="宋体"/>
                <w:b/>
                <w:color w:val="000000" w:themeColor="text1"/>
                <w:spacing w:val="-8"/>
                <w:sz w:val="21"/>
                <w:szCs w:val="21"/>
              </w:rPr>
              <w:t>以及风险评价动态变更的及时性等）</w:t>
            </w:r>
          </w:p>
          <w:p>
            <w:pPr>
              <w:spacing w:line="300" w:lineRule="exact"/>
              <w:ind w:firstLine="420" w:firstLineChars="200"/>
              <w:rPr>
                <w:rFonts w:ascii="宋体" w:hAnsi="宋体" w:eastAsia="宋体" w:cs="Times New Roman"/>
                <w:b/>
                <w:color w:val="000000" w:themeColor="text1"/>
                <w:spacing w:val="-8"/>
                <w:kern w:val="2"/>
                <w:sz w:val="21"/>
                <w:szCs w:val="21"/>
                <w:lang w:val="en-US" w:eastAsia="zh-CN" w:bidi="ar-SA"/>
              </w:rPr>
            </w:pPr>
            <w:r>
              <w:rPr>
                <w:rFonts w:hint="eastAsia" w:ascii="宋体" w:hAnsi="宋体"/>
                <w:color w:val="000000" w:themeColor="text1"/>
                <w:sz w:val="21"/>
                <w:szCs w:val="21"/>
              </w:rPr>
              <w:t>组织建立了危险源识别、评价控制程序，识别评价了危险源、风险相关的过程，评价出了重要危险源，与之相关的过程有设计、调度、安装，针对重要危险源制定了管理方案。控制措施实施有效。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pacing w:val="-4"/>
                <w:sz w:val="21"/>
                <w:szCs w:val="21"/>
              </w:rPr>
            </w:pPr>
            <w:r>
              <w:rPr>
                <w:rFonts w:hint="eastAsia"/>
                <w:b/>
                <w:color w:val="000000" w:themeColor="text1"/>
                <w:sz w:val="21"/>
                <w:szCs w:val="21"/>
              </w:rPr>
              <w:t xml:space="preserve">8. </w:t>
            </w:r>
            <w:r>
              <w:rPr>
                <w:rFonts w:hint="eastAsia" w:ascii="宋体" w:hAnsi="宋体"/>
                <w:b/>
                <w:color w:val="000000" w:themeColor="text1"/>
                <w:spacing w:val="-4"/>
                <w:sz w:val="21"/>
                <w:szCs w:val="21"/>
              </w:rPr>
              <w:t>法律法规及其他要求</w:t>
            </w:r>
          </w:p>
          <w:p>
            <w:pPr>
              <w:tabs>
                <w:tab w:val="left" w:pos="540"/>
              </w:tabs>
              <w:spacing w:line="300" w:lineRule="exact"/>
              <w:ind w:left="211" w:hanging="211" w:hangingChars="100"/>
              <w:rPr>
                <w:rFonts w:ascii="宋体" w:hAnsi="宋体"/>
                <w:b/>
                <w:color w:val="000000" w:themeColor="text1"/>
                <w:sz w:val="21"/>
                <w:szCs w:val="21"/>
              </w:rPr>
            </w:pPr>
          </w:p>
          <w:p>
            <w:pPr>
              <w:pStyle w:val="14"/>
              <w:numPr>
                <w:ilvl w:val="0"/>
                <w:numId w:val="1"/>
              </w:numPr>
              <w:tabs>
                <w:tab w:val="left" w:pos="540"/>
              </w:tabs>
              <w:spacing w:line="300" w:lineRule="exact"/>
              <w:ind w:firstLineChars="0"/>
              <w:rPr>
                <w:rFonts w:ascii="宋体" w:hAnsi="宋体"/>
                <w:b/>
                <w:color w:val="000000" w:themeColor="text1"/>
                <w:sz w:val="21"/>
                <w:szCs w:val="21"/>
                <w:u w:val="single"/>
              </w:rPr>
            </w:pPr>
            <w:r>
              <w:rPr>
                <w:rFonts w:hint="eastAsia" w:ascii="宋体" w:hAnsi="宋体"/>
                <w:b/>
                <w:color w:val="000000" w:themeColor="text1"/>
                <w:sz w:val="21"/>
                <w:szCs w:val="21"/>
              </w:rPr>
              <w:t>获取法律法规项，■法律法规获取充分，□法律法规获取有遗漏，缺少</w:t>
            </w:r>
          </w:p>
          <w:p>
            <w:pPr>
              <w:pStyle w:val="14"/>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结合公司的■产品/服务■环境因素■危险源，■确定 □未确定法律法规要求的具体条款，</w:t>
            </w:r>
          </w:p>
          <w:p>
            <w:pPr>
              <w:pStyle w:val="14"/>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法律法规的宣传方式：培训、会议、张贴。</w:t>
            </w:r>
          </w:p>
          <w:p>
            <w:pPr>
              <w:pStyle w:val="14"/>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法律法规要求及时更新了</w:t>
            </w:r>
          </w:p>
          <w:p>
            <w:pPr>
              <w:tabs>
                <w:tab w:val="left" w:pos="0"/>
              </w:tabs>
              <w:spacing w:line="240" w:lineRule="exact"/>
              <w:rPr>
                <w:rFonts w:ascii="Times New Roman" w:hAnsi="Times New Roman" w:eastAsia="宋体" w:cs="Times New Roman"/>
                <w:b/>
                <w:color w:val="000000" w:themeColor="text1"/>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bCs/>
                <w:sz w:val="21"/>
                <w:szCs w:val="21"/>
              </w:rPr>
            </w:pPr>
            <w:r>
              <w:rPr>
                <w:rFonts w:hint="eastAsia"/>
                <w:b/>
                <w:bCs/>
                <w:sz w:val="21"/>
                <w:szCs w:val="21"/>
              </w:rPr>
              <w:t>9. 目标、方案</w:t>
            </w:r>
          </w:p>
          <w:p>
            <w:pPr>
              <w:spacing w:line="300" w:lineRule="exact"/>
              <w:rPr>
                <w:sz w:val="21"/>
                <w:szCs w:val="21"/>
              </w:rPr>
            </w:pPr>
            <w:r>
              <w:rPr>
                <w:rFonts w:hint="eastAsia"/>
                <w:sz w:val="21"/>
                <w:szCs w:val="21"/>
              </w:rPr>
              <w:t>（在相关层次上建立可测量的目标，目标、方案的有效性，对质量目标的实现情况进行评价并叙述测量方法）</w:t>
            </w:r>
          </w:p>
          <w:p>
            <w:pPr>
              <w:spacing w:line="300" w:lineRule="exact"/>
              <w:ind w:firstLine="420" w:firstLineChars="200"/>
              <w:rPr>
                <w:sz w:val="21"/>
                <w:szCs w:val="21"/>
              </w:rPr>
            </w:pPr>
            <w:r>
              <w:rPr>
                <w:rFonts w:hint="eastAsia"/>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sz w:val="21"/>
                <w:szCs w:val="21"/>
              </w:rPr>
            </w:pPr>
            <w:r>
              <w:rPr>
                <w:rFonts w:hint="eastAsia"/>
                <w:sz w:val="21"/>
                <w:szCs w:val="21"/>
              </w:rPr>
              <w:t>公司质量环境安全目标为：            实</w:t>
            </w:r>
            <w:r>
              <w:rPr>
                <w:rFonts w:hint="eastAsia"/>
                <w:sz w:val="21"/>
                <w:szCs w:val="21"/>
                <w:highlight w:val="none"/>
              </w:rPr>
              <w:t>施情况（</w:t>
            </w:r>
            <w:r>
              <w:rPr>
                <w:rFonts w:hint="eastAsia"/>
                <w:sz w:val="21"/>
                <w:szCs w:val="21"/>
                <w:highlight w:val="none"/>
                <w:lang w:eastAsia="zh-CN"/>
              </w:rPr>
              <w:t>2021年1月-3月</w:t>
            </w:r>
            <w:r>
              <w:rPr>
                <w:rFonts w:hint="eastAsia"/>
                <w:sz w:val="21"/>
                <w:szCs w:val="21"/>
                <w:highlight w:val="none"/>
              </w:rPr>
              <w:t>）</w:t>
            </w:r>
          </w:p>
          <w:p>
            <w:pPr>
              <w:spacing w:line="300" w:lineRule="exact"/>
              <w:ind w:firstLine="420" w:firstLineChars="200"/>
              <w:rPr>
                <w:rFonts w:hint="eastAsia"/>
                <w:sz w:val="21"/>
                <w:szCs w:val="21"/>
              </w:rPr>
            </w:pPr>
            <w:r>
              <w:rPr>
                <w:rFonts w:hint="eastAsia"/>
                <w:sz w:val="21"/>
                <w:szCs w:val="21"/>
              </w:rPr>
              <w:t>1）合同履行率100%；</w:t>
            </w:r>
            <w:r>
              <w:rPr>
                <w:rFonts w:hint="eastAsia"/>
                <w:sz w:val="21"/>
                <w:szCs w:val="21"/>
                <w:lang w:val="en-US" w:eastAsia="zh-CN"/>
              </w:rPr>
              <w:t xml:space="preserve">                                  </w:t>
            </w:r>
            <w:r>
              <w:rPr>
                <w:rFonts w:hint="eastAsia"/>
                <w:sz w:val="21"/>
                <w:szCs w:val="21"/>
              </w:rPr>
              <w:t xml:space="preserve">100%    </w:t>
            </w:r>
          </w:p>
          <w:p>
            <w:pPr>
              <w:spacing w:line="300" w:lineRule="exact"/>
              <w:ind w:firstLine="420" w:firstLineChars="200"/>
              <w:rPr>
                <w:rFonts w:hint="eastAsia"/>
                <w:sz w:val="21"/>
                <w:szCs w:val="21"/>
              </w:rPr>
            </w:pPr>
            <w:r>
              <w:rPr>
                <w:rFonts w:hint="eastAsia"/>
                <w:sz w:val="21"/>
                <w:szCs w:val="21"/>
              </w:rPr>
              <w:t xml:space="preserve">2）顾客满意率≥90分；      </w:t>
            </w:r>
            <w:r>
              <w:rPr>
                <w:rFonts w:hint="eastAsia"/>
                <w:sz w:val="21"/>
                <w:szCs w:val="21"/>
                <w:lang w:val="en-US" w:eastAsia="zh-CN"/>
              </w:rPr>
              <w:t xml:space="preserve">                          </w:t>
            </w:r>
            <w:r>
              <w:rPr>
                <w:rFonts w:hint="eastAsia"/>
                <w:sz w:val="21"/>
                <w:szCs w:val="21"/>
              </w:rPr>
              <w:t xml:space="preserve"> 96分</w:t>
            </w:r>
          </w:p>
          <w:p>
            <w:pPr>
              <w:spacing w:line="300" w:lineRule="exact"/>
              <w:ind w:firstLine="420" w:firstLineChars="200"/>
              <w:rPr>
                <w:rFonts w:hint="eastAsia"/>
                <w:sz w:val="21"/>
                <w:szCs w:val="21"/>
              </w:rPr>
            </w:pPr>
            <w:r>
              <w:rPr>
                <w:rFonts w:hint="eastAsia"/>
                <w:sz w:val="21"/>
                <w:szCs w:val="21"/>
              </w:rPr>
              <w:t>3）项目一次交验合格率≥98%；</w:t>
            </w:r>
            <w:r>
              <w:rPr>
                <w:rFonts w:hint="eastAsia"/>
                <w:sz w:val="21"/>
                <w:szCs w:val="21"/>
                <w:lang w:val="en-US" w:eastAsia="zh-CN"/>
              </w:rPr>
              <w:t xml:space="preserve">                          </w:t>
            </w:r>
            <w:r>
              <w:rPr>
                <w:rFonts w:hint="eastAsia"/>
                <w:sz w:val="21"/>
                <w:szCs w:val="21"/>
              </w:rPr>
              <w:t>99%</w:t>
            </w:r>
          </w:p>
          <w:p>
            <w:pPr>
              <w:spacing w:line="300" w:lineRule="exact"/>
              <w:ind w:firstLine="420" w:firstLineChars="200"/>
              <w:rPr>
                <w:rFonts w:hint="eastAsia"/>
                <w:sz w:val="21"/>
                <w:szCs w:val="21"/>
              </w:rPr>
            </w:pPr>
            <w:r>
              <w:rPr>
                <w:rFonts w:hint="eastAsia"/>
                <w:sz w:val="21"/>
                <w:szCs w:val="21"/>
              </w:rPr>
              <w:t xml:space="preserve">4）火灾发生率为0；                              </w:t>
            </w:r>
            <w:r>
              <w:rPr>
                <w:rFonts w:hint="eastAsia"/>
                <w:sz w:val="21"/>
                <w:szCs w:val="21"/>
                <w:lang w:val="en-US" w:eastAsia="zh-CN"/>
              </w:rPr>
              <w:t xml:space="preserve">    </w:t>
            </w:r>
            <w:r>
              <w:rPr>
                <w:rFonts w:hint="eastAsia"/>
                <w:sz w:val="21"/>
                <w:szCs w:val="21"/>
              </w:rPr>
              <w:t xml:space="preserve">   0</w:t>
            </w:r>
          </w:p>
          <w:p>
            <w:pPr>
              <w:spacing w:line="300" w:lineRule="exact"/>
              <w:ind w:firstLine="420" w:firstLineChars="200"/>
              <w:rPr>
                <w:rFonts w:hint="eastAsia"/>
                <w:sz w:val="21"/>
                <w:szCs w:val="21"/>
              </w:rPr>
            </w:pPr>
            <w:r>
              <w:rPr>
                <w:rFonts w:hint="eastAsia"/>
                <w:sz w:val="21"/>
                <w:szCs w:val="21"/>
              </w:rPr>
              <w:t xml:space="preserve">5）员工意外伤害为0；    </w:t>
            </w:r>
            <w:r>
              <w:rPr>
                <w:rFonts w:hint="eastAsia"/>
                <w:sz w:val="21"/>
                <w:szCs w:val="21"/>
                <w:lang w:val="en-US" w:eastAsia="zh-CN"/>
              </w:rPr>
              <w:t xml:space="preserve">                             </w:t>
            </w:r>
            <w:r>
              <w:rPr>
                <w:rFonts w:hint="eastAsia"/>
                <w:sz w:val="21"/>
                <w:szCs w:val="21"/>
              </w:rPr>
              <w:t xml:space="preserve">  0</w:t>
            </w:r>
          </w:p>
          <w:p>
            <w:pPr>
              <w:spacing w:line="300" w:lineRule="exact"/>
              <w:ind w:firstLine="420" w:firstLineChars="200"/>
              <w:rPr>
                <w:rFonts w:ascii="Times New Roman" w:hAnsi="Times New Roman" w:eastAsia="宋体" w:cs="Times New Roman"/>
                <w:kern w:val="2"/>
                <w:sz w:val="21"/>
                <w:szCs w:val="21"/>
                <w:lang w:val="en-US" w:eastAsia="zh-CN" w:bidi="ar-SA"/>
              </w:rPr>
            </w:pPr>
            <w:r>
              <w:rPr>
                <w:rFonts w:hint="eastAsia"/>
                <w:sz w:val="21"/>
                <w:szCs w:val="21"/>
              </w:rPr>
              <w:t xml:space="preserve">6）固废处置合规率100%；                      </w:t>
            </w:r>
            <w:r>
              <w:rPr>
                <w:rFonts w:hint="eastAsia"/>
                <w:sz w:val="21"/>
                <w:szCs w:val="21"/>
                <w:lang w:val="en-US" w:eastAsia="zh-CN"/>
              </w:rPr>
              <w:t xml:space="preserve">      </w:t>
            </w:r>
            <w:r>
              <w:rPr>
                <w:rFonts w:hint="eastAsia"/>
                <w:sz w:val="21"/>
                <w:szCs w:val="21"/>
              </w:rPr>
              <w:t xml:space="preserve">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color w:val="000000" w:themeColor="text1"/>
                <w:sz w:val="21"/>
                <w:szCs w:val="21"/>
              </w:rPr>
            </w:pPr>
            <w:r>
              <w:rPr>
                <w:rFonts w:hint="eastAsia"/>
                <w:b/>
                <w:color w:val="000000" w:themeColor="text1"/>
                <w:sz w:val="21"/>
                <w:szCs w:val="21"/>
              </w:rPr>
              <w:t>10.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tabs>
                <w:tab w:val="left" w:pos="540"/>
              </w:tabs>
              <w:spacing w:line="240" w:lineRule="exact"/>
              <w:rPr>
                <w:rFonts w:ascii="宋体" w:hAnsi="宋体" w:eastAsia="宋体" w:cs="Times New Roman"/>
                <w:b/>
                <w:color w:val="000000" w:themeColor="text1"/>
                <w:kern w:val="2"/>
                <w:sz w:val="21"/>
                <w:szCs w:val="21"/>
                <w:lang w:val="en-US" w:eastAsia="zh-CN" w:bidi="ar-SA"/>
              </w:rPr>
            </w:pPr>
            <w:r>
              <w:rPr>
                <w:rFonts w:hint="eastAsia" w:ascii="宋体" w:hAnsi="宋体" w:cs="宋体"/>
                <w:color w:val="000000" w:themeColor="text1"/>
                <w:sz w:val="21"/>
                <w:szCs w:val="21"/>
              </w:rPr>
              <w:t>公司按照申请认证的标准要求，建立并形成了文件化的</w:t>
            </w:r>
            <w:r>
              <w:rPr>
                <w:rFonts w:hint="eastAsia" w:ascii="宋体" w:hAnsi="宋体"/>
                <w:color w:val="000000" w:themeColor="text1"/>
                <w:sz w:val="21"/>
                <w:szCs w:val="21"/>
              </w:rPr>
              <w:t>环境和职业健康安全</w:t>
            </w:r>
            <w:r>
              <w:rPr>
                <w:rFonts w:hint="eastAsia" w:ascii="宋体" w:hAnsi="宋体" w:cs="宋体"/>
                <w:color w:val="000000" w:themeColor="text1"/>
                <w:sz w:val="21"/>
                <w:szCs w:val="21"/>
              </w:rPr>
              <w:t>管理体系，体系文件对管理体系各过程进行了识别确定、明确了各要素间的相互关系及其管控要求。公司体系文件于</w:t>
            </w:r>
            <w:r>
              <w:rPr>
                <w:rFonts w:hint="eastAsia" w:ascii="宋体" w:hAnsi="宋体" w:cs="Arial"/>
                <w:color w:val="000000" w:themeColor="text1"/>
                <w:sz w:val="21"/>
                <w:szCs w:val="21"/>
              </w:rPr>
              <w:t xml:space="preserve">2019 </w:t>
            </w:r>
            <w:r>
              <w:rPr>
                <w:rFonts w:hint="eastAsia" w:ascii="宋体" w:hAnsi="宋体" w:cs="宋体"/>
                <w:color w:val="000000" w:themeColor="text1"/>
                <w:sz w:val="21"/>
                <w:szCs w:val="21"/>
              </w:rPr>
              <w:t>年11月20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b/>
                <w:color w:val="000000" w:themeColor="text1"/>
                <w:sz w:val="21"/>
                <w:szCs w:val="21"/>
              </w:rPr>
            </w:pP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tabs>
                <w:tab w:val="left" w:pos="2552"/>
              </w:tabs>
              <w:spacing w:line="0" w:lineRule="atLeast"/>
              <w:ind w:firstLine="420" w:firstLineChars="200"/>
              <w:rPr>
                <w:rFonts w:ascii="宋体" w:hAnsi="宋体"/>
                <w:bCs/>
                <w:iCs/>
                <w:sz w:val="21"/>
                <w:szCs w:val="21"/>
              </w:rPr>
            </w:pPr>
            <w:r>
              <w:rPr>
                <w:rFonts w:hint="eastAsia" w:ascii="宋体" w:hAnsi="宋体"/>
                <w:bCs/>
                <w:iCs/>
                <w:sz w:val="21"/>
                <w:szCs w:val="21"/>
              </w:rPr>
              <w:t>组织按管理体系需求配置了充足的人员、设施、监视和测量设备等资源，并建立维持了</w:t>
            </w:r>
            <w:r>
              <w:rPr>
                <w:rFonts w:hint="eastAsia" w:ascii="宋体" w:hAnsi="宋体"/>
                <w:sz w:val="21"/>
                <w:szCs w:val="21"/>
              </w:rPr>
              <w:t>人力资源管理</w:t>
            </w:r>
            <w:r>
              <w:rPr>
                <w:rFonts w:hint="eastAsia" w:ascii="宋体" w:hAnsi="宋体"/>
                <w:bCs/>
                <w:iCs/>
                <w:sz w:val="21"/>
                <w:szCs w:val="21"/>
              </w:rPr>
              <w:t>及相关服务运行环境，可以维持管理体系的正常运行。</w:t>
            </w:r>
          </w:p>
          <w:p>
            <w:pPr>
              <w:spacing w:line="300" w:lineRule="exact"/>
              <w:rPr>
                <w:rFonts w:ascii="宋体" w:hAnsi="宋体" w:eastAsia="宋体" w:cs="Times New Roman"/>
                <w:b/>
                <w:color w:val="000000" w:themeColor="text1"/>
                <w:kern w:val="2"/>
                <w:sz w:val="21"/>
                <w:szCs w:val="21"/>
                <w:lang w:val="en-US" w:eastAsia="zh-CN" w:bidi="ar-SA"/>
              </w:rPr>
            </w:pPr>
            <w:r>
              <w:rPr>
                <w:rFonts w:hint="eastAsia" w:ascii="宋体" w:hAnsi="宋体"/>
                <w:bCs/>
                <w:iCs/>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设备设施（包括信息系统）、</w:t>
            </w:r>
          </w:p>
          <w:p>
            <w:pPr>
              <w:spacing w:line="400" w:lineRule="exact"/>
              <w:rPr>
                <w:rFonts w:ascii="宋体" w:hAnsi="宋体" w:eastAsia="宋体" w:cs="Times New Roman"/>
                <w:b/>
                <w:color w:val="000000" w:themeColor="text1"/>
                <w:kern w:val="2"/>
                <w:sz w:val="21"/>
                <w:szCs w:val="21"/>
                <w:lang w:val="en-US" w:eastAsia="zh-CN" w:bidi="ar-SA"/>
              </w:rPr>
            </w:pPr>
            <w:r>
              <w:rPr>
                <w:rFonts w:hint="eastAsia" w:ascii="宋体" w:hAnsi="宋体"/>
                <w:sz w:val="21"/>
                <w:szCs w:val="21"/>
                <w:highlight w:val="none"/>
              </w:rPr>
              <w:t>办公场所面积200平方左右。</w:t>
            </w:r>
            <w:r>
              <w:rPr>
                <w:rFonts w:hint="eastAsia" w:ascii="宋体" w:hAnsi="宋体" w:cs="宋体"/>
                <w:sz w:val="21"/>
                <w:szCs w:val="21"/>
                <w:highlight w:val="none"/>
              </w:rPr>
              <w:t>主要生产设备包括办公设备（电脑、</w:t>
            </w:r>
            <w:r>
              <w:rPr>
                <w:rFonts w:hint="eastAsia" w:ascii="宋体" w:hAnsi="宋体"/>
                <w:sz w:val="21"/>
                <w:szCs w:val="21"/>
                <w:highlight w:val="none"/>
              </w:rPr>
              <w:t>打印复印一体机、彩色打印机、办公桌椅</w:t>
            </w:r>
            <w:r>
              <w:rPr>
                <w:rFonts w:hint="eastAsia" w:ascii="宋体" w:hAnsi="宋体" w:cs="宋体"/>
                <w:sz w:val="21"/>
                <w:szCs w:val="21"/>
                <w:highlight w:val="none"/>
              </w:rPr>
              <w:t>、空调）、手动工具等</w:t>
            </w:r>
            <w:r>
              <w:rPr>
                <w:rFonts w:hint="eastAsia" w:ascii="宋体" w:hAnsi="宋体"/>
                <w:sz w:val="21"/>
                <w:szCs w:val="21"/>
                <w:highlight w:val="none"/>
              </w:rPr>
              <w:t>，</w:t>
            </w:r>
            <w:r>
              <w:rPr>
                <w:rFonts w:hint="eastAsia" w:ascii="宋体" w:hAnsi="宋体"/>
                <w:sz w:val="21"/>
                <w:szCs w:val="21"/>
              </w:rPr>
              <w:t>可以满足计算机软件开发及信息系统集成的</w:t>
            </w:r>
            <w:r>
              <w:rPr>
                <w:rFonts w:hint="eastAsia" w:ascii="宋体" w:hAnsi="宋体" w:cs="宋体"/>
                <w:sz w:val="21"/>
                <w:szCs w:val="21"/>
              </w:rPr>
              <w:t>需</w:t>
            </w:r>
            <w:r>
              <w:rPr>
                <w:rFonts w:hint="eastAsia" w:ascii="宋体" w:hAnsi="宋体"/>
                <w:sz w:val="21"/>
                <w:szCs w:val="21"/>
              </w:rPr>
              <w:t>要</w:t>
            </w:r>
            <w:r>
              <w:rPr>
                <w:rFonts w:hint="eastAsia" w:ascii="宋体" w:hAnsi="宋体" w:cs="宋体"/>
                <w:sz w:val="21"/>
                <w:szCs w:val="21"/>
              </w:rPr>
              <w:t>。对设备按月方式进行维护保养，并实施。特种设备：无。公司未建立信息管理系统用于生产和服务。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过程运行环境</w:t>
            </w:r>
          </w:p>
          <w:p>
            <w:pPr>
              <w:spacing w:line="240" w:lineRule="exact"/>
              <w:rPr>
                <w:rFonts w:ascii="宋体" w:hAnsi="宋体" w:eastAsia="宋体" w:cs="Times New Roman"/>
                <w:b/>
                <w:color w:val="000000" w:themeColor="text1"/>
                <w:kern w:val="2"/>
                <w:sz w:val="21"/>
                <w:szCs w:val="21"/>
                <w:lang w:val="en-US" w:eastAsia="zh-CN" w:bidi="ar-SA"/>
              </w:rPr>
            </w:pPr>
            <w:r>
              <w:rPr>
                <w:rFonts w:hint="eastAsia" w:ascii="宋体" w:hAnsi="宋体" w:cs="宋体"/>
                <w:sz w:val="21"/>
                <w:szCs w:val="21"/>
              </w:rPr>
              <w:t>办公</w:t>
            </w:r>
            <w:r>
              <w:rPr>
                <w:rFonts w:hint="eastAsia" w:ascii="宋体" w:hAnsi="宋体"/>
                <w:sz w:val="21"/>
                <w:szCs w:val="21"/>
              </w:rPr>
              <w:t>服务</w:t>
            </w:r>
            <w:r>
              <w:rPr>
                <w:rFonts w:hint="eastAsia" w:ascii="宋体" w:hAnsi="宋体" w:cs="宋体"/>
                <w:sz w:val="21"/>
                <w:szCs w:val="21"/>
              </w:rPr>
              <w:t>场所和内设备布置合理，通道畅通，照明设施齐全，均配备了消防设施等设施。办公室明亮，培训场所光线较充足。每月由综合部对工作环境进行定期检查。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1"/>
                <w:szCs w:val="21"/>
                <w:highlight w:val="none"/>
              </w:rPr>
            </w:pPr>
            <w:r>
              <w:rPr>
                <w:rFonts w:hint="eastAsia" w:ascii="宋体" w:hAnsi="宋体"/>
                <w:b/>
                <w:color w:val="000000" w:themeColor="text1"/>
                <w:sz w:val="21"/>
                <w:szCs w:val="21"/>
                <w:highlight w:val="none"/>
              </w:rPr>
              <w:t>监视和测量资源</w:t>
            </w:r>
          </w:p>
          <w:p>
            <w:pPr>
              <w:spacing w:line="400" w:lineRule="exact"/>
              <w:rPr>
                <w:rFonts w:ascii="宋体" w:hAnsi="宋体" w:eastAsia="宋体" w:cs="Times New Roman"/>
                <w:b/>
                <w:color w:val="000000" w:themeColor="text1"/>
                <w:kern w:val="2"/>
                <w:sz w:val="21"/>
                <w:szCs w:val="21"/>
                <w:highlight w:val="none"/>
                <w:lang w:val="en-US" w:eastAsia="zh-CN" w:bidi="ar-SA"/>
              </w:rPr>
            </w:pPr>
            <w:r>
              <w:rPr>
                <w:rFonts w:hint="eastAsia" w:ascii="宋体" w:hAnsi="宋体"/>
                <w:color w:val="000000"/>
                <w:sz w:val="21"/>
                <w:szCs w:val="21"/>
                <w:highlight w:val="none"/>
              </w:rPr>
              <w:t>有万用表</w:t>
            </w:r>
            <w:r>
              <w:rPr>
                <w:rFonts w:hint="eastAsia"/>
                <w:sz w:val="21"/>
                <w:szCs w:val="21"/>
                <w:highlight w:val="none"/>
              </w:rPr>
              <w:t>、</w:t>
            </w:r>
            <w:r>
              <w:rPr>
                <w:rFonts w:hint="eastAsia" w:ascii="宋体" w:hAnsi="宋体"/>
                <w:color w:val="000000"/>
                <w:sz w:val="21"/>
                <w:szCs w:val="21"/>
                <w:highlight w:val="none"/>
              </w:rPr>
              <w:t>测线仪等。采取委外送检或校准。</w:t>
            </w:r>
            <w:r>
              <w:rPr>
                <w:rFonts w:hint="eastAsia" w:ascii="宋体" w:hAnsi="宋体"/>
                <w:color w:val="000000"/>
                <w:sz w:val="21"/>
                <w:szCs w:val="21"/>
                <w:highlight w:val="none"/>
                <w:lang w:val="en-US" w:eastAsia="zh-CN"/>
              </w:rPr>
              <w:t>提供有有效的校准报告</w:t>
            </w:r>
            <w:r>
              <w:rPr>
                <w:rFonts w:hint="eastAsia" w:ascii="宋体" w:hAnsi="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环保设施：</w:t>
            </w:r>
          </w:p>
          <w:p>
            <w:pPr>
              <w:spacing w:line="240" w:lineRule="exact"/>
              <w:rPr>
                <w:rFonts w:ascii="宋体" w:hAnsi="宋体" w:eastAsia="宋体" w:cs="Times New Roman"/>
                <w:kern w:val="2"/>
                <w:sz w:val="21"/>
                <w:szCs w:val="21"/>
                <w:lang w:val="en-US" w:eastAsia="zh-CN" w:bidi="ar-SA"/>
              </w:rPr>
            </w:pPr>
            <w:r>
              <w:rPr>
                <w:rFonts w:hint="eastAsia" w:ascii="宋体" w:hAnsi="宋体"/>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职业健康安全设施：</w:t>
            </w:r>
          </w:p>
          <w:p>
            <w:pPr>
              <w:spacing w:line="240" w:lineRule="exact"/>
              <w:rPr>
                <w:rFonts w:ascii="宋体" w:hAnsi="宋体" w:eastAsia="宋体" w:cs="Times New Roman"/>
                <w:kern w:val="2"/>
                <w:sz w:val="21"/>
                <w:szCs w:val="21"/>
                <w:lang w:val="en-US" w:eastAsia="zh-CN" w:bidi="ar-SA"/>
              </w:rPr>
            </w:pPr>
            <w:r>
              <w:rPr>
                <w:rFonts w:hint="eastAsia" w:ascii="宋体" w:hAnsi="宋体"/>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5"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color w:val="000000" w:themeColor="text1"/>
                <w:sz w:val="21"/>
                <w:szCs w:val="21"/>
              </w:rPr>
            </w:pPr>
            <w:r>
              <w:rPr>
                <w:rFonts w:hint="eastAsia"/>
                <w:b/>
                <w:color w:val="000000" w:themeColor="text1"/>
                <w:sz w:val="21"/>
                <w:szCs w:val="21"/>
              </w:rPr>
              <w:t>1. 针对方针的管理职责评审</w:t>
            </w:r>
          </w:p>
          <w:p>
            <w:pPr>
              <w:spacing w:line="300" w:lineRule="exact"/>
              <w:ind w:left="1"/>
              <w:rPr>
                <w:b/>
                <w:color w:val="000000" w:themeColor="text1"/>
                <w:sz w:val="21"/>
                <w:szCs w:val="21"/>
              </w:rPr>
            </w:pPr>
            <w:r>
              <w:rPr>
                <w:rFonts w:hint="eastAsia"/>
                <w:b/>
                <w:color w:val="000000" w:themeColor="text1"/>
                <w:sz w:val="21"/>
                <w:szCs w:val="21"/>
              </w:rPr>
              <w:t>（包括针对组织宗旨，制定相关管理方针政策、确保方针为员工理解并在运营中实施，监视方针的实施并评审方针的适宜性）</w:t>
            </w:r>
          </w:p>
          <w:p>
            <w:pPr>
              <w:spacing w:line="300" w:lineRule="exact"/>
              <w:ind w:left="1" w:leftChars="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67" w:hangingChars="79"/>
              <w:rPr>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 xml:space="preserve">                内部沟通的效果：良好</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组织对外联络，关注顾客的感受情况（QMS）：采取顾客满意度调查方式了解顾客感受。</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外部信息的接收、成文并答复的情况（E、S填写）：对会议通知和规定等登记处理</w:t>
            </w:r>
          </w:p>
          <w:p>
            <w:pPr>
              <w:spacing w:line="240" w:lineRule="exact"/>
              <w:rPr>
                <w:rFonts w:ascii="楷体_GB2312" w:eastAsia="楷体_GB2312"/>
                <w:b/>
                <w:color w:val="000000" w:themeColor="text1"/>
                <w:sz w:val="21"/>
                <w:szCs w:val="21"/>
              </w:rPr>
            </w:pPr>
          </w:p>
          <w:p>
            <w:pPr>
              <w:spacing w:line="240" w:lineRule="exact"/>
              <w:rPr>
                <w:sz w:val="21"/>
                <w:szCs w:val="21"/>
              </w:rPr>
            </w:pPr>
            <w:r>
              <w:rPr>
                <w:rFonts w:hint="eastAsia" w:ascii="楷体_GB2312" w:eastAsia="楷体_GB2312"/>
                <w:b/>
                <w:color w:val="000000" w:themeColor="text1"/>
                <w:sz w:val="21"/>
                <w:szCs w:val="21"/>
              </w:rPr>
              <w:t>重要环境因素信息对外交流情况（EMS填写）：</w:t>
            </w:r>
            <w:r>
              <w:rPr>
                <w:rFonts w:hint="eastAsia"/>
                <w:sz w:val="21"/>
                <w:szCs w:val="21"/>
              </w:rPr>
              <w:t>主要通过网络、交流及公开信、合同等方式进行，并达成一致性意见实施有效控制</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r>
              <w:rPr>
                <w:rFonts w:hint="eastAsia" w:ascii="宋体" w:hAnsi="宋体" w:cs="Arial"/>
                <w:sz w:val="21"/>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 w:val="21"/>
                <w:szCs w:val="21"/>
              </w:rPr>
            </w:pPr>
          </w:p>
          <w:p>
            <w:pPr>
              <w:spacing w:line="240" w:lineRule="exact"/>
              <w:rPr>
                <w:rFonts w:ascii="楷体_GB2312" w:hAnsi="Times New Roman" w:eastAsia="楷体_GB2312" w:cs="Times New Roman"/>
                <w:b/>
                <w:color w:val="000000" w:themeColor="text1"/>
                <w:kern w:val="2"/>
                <w:sz w:val="21"/>
                <w:szCs w:val="21"/>
                <w:lang w:val="en-US" w:eastAsia="zh-CN" w:bidi="ar-SA"/>
              </w:rPr>
            </w:pPr>
            <w:r>
              <w:rPr>
                <w:rFonts w:hint="eastAsia" w:ascii="楷体_GB2312" w:eastAsia="楷体_GB2312"/>
                <w:b/>
                <w:color w:val="000000" w:themeColor="text1"/>
                <w:sz w:val="2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3.  QMS 组织对重要过程实施控制的结果</w:t>
            </w:r>
          </w:p>
          <w:p>
            <w:pPr>
              <w:spacing w:line="240" w:lineRule="exact"/>
              <w:ind w:left="206" w:leftChars="42" w:hanging="105" w:hangingChars="50"/>
              <w:rPr>
                <w:b/>
                <w:color w:val="000000" w:themeColor="text1"/>
                <w:sz w:val="21"/>
                <w:szCs w:val="21"/>
              </w:rPr>
            </w:pPr>
            <w:r>
              <w:rPr>
                <w:rFonts w:hint="eastAsia"/>
                <w:b/>
                <w:color w:val="000000" w:themeColor="text1"/>
                <w:sz w:val="21"/>
                <w:szCs w:val="21"/>
              </w:rPr>
              <w:t>(包括对QMS关键工序(过程)、特殊过程控制;评价组织对过程实施控制情况/)</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8"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spacing w:line="240" w:lineRule="exact"/>
              <w:rPr>
                <w:rFonts w:ascii="宋体" w:hAnsi="宋体" w:cs="宋体"/>
                <w:color w:val="000000"/>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/□50430国家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r>
              <w:rPr>
                <w:rFonts w:hint="eastAsia" w:ascii="宋体" w:hAnsi="宋体"/>
                <w:b/>
                <w:sz w:val="21"/>
                <w:szCs w:val="21"/>
                <w:lang w:val="en-US" w:eastAsia="zh-CN"/>
              </w:rPr>
              <w:t>无</w:t>
            </w: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6"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7. EMS组织对重要环境因素实施控制的结果</w:t>
            </w:r>
          </w:p>
          <w:p>
            <w:pPr>
              <w:spacing w:line="240" w:lineRule="exact"/>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pStyle w:val="14"/>
              <w:tabs>
                <w:tab w:val="center" w:pos="3169"/>
              </w:tabs>
              <w:spacing w:line="400" w:lineRule="exact"/>
              <w:ind w:firstLine="0" w:firstLineChars="0"/>
              <w:jc w:val="left"/>
              <w:rPr>
                <w:rFonts w:ascii="Times New Roman" w:hAnsi="Times New Roman" w:eastAsia="宋体" w:cs="Times New Roman"/>
                <w:b/>
                <w:color w:val="000000" w:themeColor="text1"/>
                <w:kern w:val="2"/>
                <w:sz w:val="21"/>
                <w:szCs w:val="21"/>
                <w:lang w:val="en-US" w:eastAsia="zh-CN" w:bidi="ar-SA"/>
              </w:rPr>
            </w:pPr>
            <w:r>
              <w:rPr>
                <w:rFonts w:hint="eastAsia" w:asciiTheme="minorEastAsia" w:hAnsiTheme="minorEastAsia" w:eastAsiaTheme="minorEastAsia"/>
                <w:bCs/>
                <w:iCs/>
                <w:sz w:val="21"/>
                <w:szCs w:val="21"/>
              </w:rPr>
              <w:t>组织重要环境因素为</w:t>
            </w:r>
            <w:r>
              <w:rPr>
                <w:rFonts w:hint="eastAsia" w:ascii="宋体" w:hAnsi="宋体" w:cs="宋体"/>
                <w:sz w:val="21"/>
                <w:szCs w:val="21"/>
              </w:rPr>
              <w:t>潜在火灾、噪声排放</w:t>
            </w:r>
            <w:r>
              <w:rPr>
                <w:rFonts w:hint="eastAsia" w:asciiTheme="minorEastAsia" w:hAnsiTheme="minorEastAsia" w:eastAsiaTheme="minorEastAsia"/>
                <w:bCs/>
                <w:iCs/>
                <w:sz w:val="21"/>
                <w:szCs w:val="21"/>
              </w:rPr>
              <w:t>，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8. OHS 组织对不可接受风险实施控制的结果</w:t>
            </w:r>
          </w:p>
          <w:p>
            <w:pPr>
              <w:pStyle w:val="16"/>
              <w:rPr>
                <w:rFonts w:ascii="Times New Roman" w:hAnsi="Times New Roman" w:eastAsia="宋体" w:cs="Times New Roman"/>
                <w:b/>
                <w:bCs/>
                <w:color w:val="000000" w:themeColor="text1"/>
                <w:spacing w:val="10"/>
                <w:kern w:val="2"/>
                <w:sz w:val="21"/>
                <w:szCs w:val="21"/>
                <w:lang w:val="en-US" w:eastAsia="zh-CN" w:bidi="ar-SA"/>
              </w:rPr>
            </w:pPr>
            <w:r>
              <w:rPr>
                <w:rFonts w:hint="eastAsia" w:asciiTheme="minorEastAsia" w:hAnsiTheme="minorEastAsia" w:eastAsiaTheme="minorEastAsia"/>
                <w:iCs/>
                <w:sz w:val="21"/>
                <w:szCs w:val="21"/>
              </w:rPr>
              <w:t>组织建立了危险源识别、评价控制程序，识别评价了危险源、风险相关的过程，评价出了重要危险源（</w:t>
            </w:r>
            <w:r>
              <w:rPr>
                <w:rFonts w:hint="eastAsia"/>
                <w:sz w:val="21"/>
                <w:szCs w:val="21"/>
              </w:rPr>
              <w:t>火灾、意外伤害（触电、机械伤害、</w:t>
            </w:r>
            <w:r>
              <w:rPr>
                <w:rFonts w:hint="eastAsia" w:ascii="宋体" w:hAnsi="宋体"/>
                <w:sz w:val="21"/>
                <w:szCs w:val="21"/>
              </w:rPr>
              <w:t>高空坠落等</w:t>
            </w:r>
            <w:r>
              <w:rPr>
                <w:rFonts w:hint="eastAsia" w:asciiTheme="minorEastAsia" w:hAnsiTheme="minorEastAsia" w:eastAsiaTheme="minorEastAsia"/>
                <w:iCs/>
                <w:sz w:val="21"/>
                <w:szCs w:val="21"/>
              </w:rPr>
              <w:t>），与之相关的过程有服务、信息处理过程，针对不可接受风险制定了管理方案。控制措施实施有效。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rFonts w:cs="Times New Roman" w:asciiTheme="minorEastAsia" w:hAnsiTheme="minorEastAsia" w:eastAsiaTheme="minorEastAsia"/>
                <w:b/>
                <w:color w:val="000000" w:themeColor="text1"/>
                <w:spacing w:val="-4"/>
                <w:kern w:val="2"/>
                <w:sz w:val="21"/>
                <w:szCs w:val="21"/>
                <w:lang w:val="en-US" w:eastAsia="zh-CN" w:bidi="ar-SA"/>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 xml:space="preserve">10. 对特种设备的维护; </w:t>
            </w:r>
            <w:r>
              <w:rPr>
                <w:rFonts w:hint="eastAsia"/>
                <w:b/>
                <w:sz w:val="21"/>
                <w:szCs w:val="21"/>
              </w:rPr>
              <w:t>（适用时）</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 w:val="21"/>
                <w:szCs w:val="21"/>
              </w:rPr>
            </w:pPr>
            <w:r>
              <w:rPr>
                <w:rFonts w:hint="eastAsia"/>
                <w:b/>
                <w:color w:val="000000" w:themeColor="text1"/>
                <w:sz w:val="21"/>
                <w:szCs w:val="21"/>
              </w:rPr>
              <w:t>11 .对危险化学品销售、使用、储存、运输处置，规定的执行力度(必要时);</w:t>
            </w:r>
            <w:r>
              <w:rPr>
                <w:rFonts w:hint="eastAsia"/>
                <w:b/>
                <w:sz w:val="21"/>
                <w:szCs w:val="21"/>
              </w:rPr>
              <w:t>（适用时）</w:t>
            </w:r>
          </w:p>
          <w:p>
            <w:pPr>
              <w:spacing w:line="240" w:lineRule="exact"/>
              <w:rPr>
                <w:rFonts w:ascii="Times New Roman" w:hAnsi="Times New Roman" w:eastAsia="宋体" w:cs="Times New Roman"/>
                <w:kern w:val="2"/>
                <w:sz w:val="21"/>
                <w:szCs w:val="21"/>
                <w:lang w:val="en-US" w:eastAsia="zh-CN" w:bidi="ar-SA"/>
              </w:rPr>
            </w:pP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highlight w:val="none"/>
              </w:rPr>
            </w:pPr>
            <w:r>
              <w:rPr>
                <w:rFonts w:ascii="宋体" w:hAnsi="宋体"/>
                <w:b/>
                <w:szCs w:val="21"/>
                <w:highlight w:val="none"/>
              </w:rPr>
              <w:t>(</w:t>
            </w:r>
            <w:r>
              <w:rPr>
                <w:rFonts w:hint="eastAsia" w:ascii="宋体" w:hAnsi="宋体"/>
                <w:b/>
                <w:szCs w:val="21"/>
                <w:highlight w:val="none"/>
              </w:rPr>
              <w:t>四</w:t>
            </w:r>
            <w:r>
              <w:rPr>
                <w:rFonts w:ascii="宋体" w:hAnsi="宋体"/>
                <w:b/>
                <w:szCs w:val="21"/>
                <w:highlight w:val="none"/>
              </w:rPr>
              <w:t>)</w:t>
            </w:r>
            <w:r>
              <w:rPr>
                <w:rFonts w:hint="eastAsia" w:ascii="宋体" w:hAnsi="宋体"/>
                <w:b/>
                <w:szCs w:val="21"/>
                <w:highlight w:val="none"/>
              </w:rPr>
              <w:t>监视测量方面</w:t>
            </w:r>
          </w:p>
        </w:tc>
        <w:tc>
          <w:tcPr>
            <w:tcW w:w="9198" w:type="dxa"/>
            <w:vAlign w:val="top"/>
          </w:tcPr>
          <w:p>
            <w:pPr>
              <w:spacing w:line="240" w:lineRule="exact"/>
              <w:ind w:left="100" w:hanging="105" w:hangingChars="50"/>
              <w:rPr>
                <w:b/>
                <w:color w:val="000000" w:themeColor="text1"/>
                <w:sz w:val="21"/>
                <w:szCs w:val="21"/>
                <w:highlight w:val="none"/>
              </w:rPr>
            </w:pPr>
            <w:r>
              <w:rPr>
                <w:rFonts w:hint="eastAsia"/>
                <w:b/>
                <w:color w:val="000000" w:themeColor="text1"/>
                <w:sz w:val="21"/>
                <w:szCs w:val="21"/>
                <w:highlight w:val="none"/>
              </w:rPr>
              <w:t>1. .对质量/环境/职业健康安全目标指标进行定期监测/检查情况</w:t>
            </w:r>
            <w:r>
              <w:rPr>
                <w:rFonts w:hint="eastAsia"/>
                <w:b/>
                <w:sz w:val="21"/>
                <w:szCs w:val="21"/>
                <w:highlight w:val="none"/>
              </w:rPr>
              <w:t>（适用时）</w:t>
            </w:r>
          </w:p>
          <w:p>
            <w:pPr>
              <w:spacing w:line="240" w:lineRule="exact"/>
              <w:ind w:firstLine="105" w:firstLineChars="50"/>
              <w:rPr>
                <w:rFonts w:ascii="Times New Roman" w:hAnsi="Times New Roman" w:eastAsia="宋体" w:cs="Times New Roman"/>
                <w:b/>
                <w:color w:val="000000" w:themeColor="text1"/>
                <w:kern w:val="2"/>
                <w:sz w:val="21"/>
                <w:szCs w:val="21"/>
                <w:highlight w:val="none"/>
                <w:lang w:val="en-US" w:eastAsia="zh-CN" w:bidi="ar-SA"/>
              </w:rPr>
            </w:pPr>
            <w:r>
              <w:rPr>
                <w:rFonts w:hint="eastAsia" w:ascii="宋体" w:hAnsi="宋体" w:cs="宋体"/>
                <w:color w:val="000000"/>
                <w:sz w:val="21"/>
                <w:szCs w:val="21"/>
                <w:highlight w:val="none"/>
              </w:rPr>
              <w:t>公司制定、发布了总体目标并分解到相关职能部门和层次，规定了</w:t>
            </w:r>
            <w:r>
              <w:rPr>
                <w:rFonts w:hint="eastAsia" w:ascii="宋体" w:hAnsi="宋体" w:cs="宋体"/>
                <w:color w:val="000000"/>
                <w:sz w:val="21"/>
                <w:szCs w:val="21"/>
                <w:highlight w:val="none"/>
              </w:rPr>
              <w:t>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 w:val="21"/>
                <w:szCs w:val="21"/>
                <w:highlight w:val="none"/>
                <w:lang w:eastAsia="zh-CN"/>
              </w:rPr>
              <w:t>2021年1月-3月</w:t>
            </w:r>
            <w:r>
              <w:rPr>
                <w:rFonts w:hint="eastAsia" w:ascii="宋体" w:hAnsi="宋体" w:cs="宋体"/>
                <w:color w:val="000000"/>
                <w:sz w:val="21"/>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jc w:val="center"/>
        </w:trPr>
        <w:tc>
          <w:tcPr>
            <w:tcW w:w="720" w:type="dxa"/>
            <w:vMerge w:val="continue"/>
            <w:textDirection w:val="tbRlV"/>
            <w:vAlign w:val="center"/>
          </w:tcPr>
          <w:p>
            <w:pPr>
              <w:spacing w:line="240" w:lineRule="exact"/>
              <w:ind w:left="113" w:right="113"/>
              <w:jc w:val="center"/>
              <w:rPr>
                <w:b/>
                <w:szCs w:val="21"/>
                <w:highlight w:val="none"/>
              </w:rPr>
            </w:pPr>
          </w:p>
        </w:tc>
        <w:tc>
          <w:tcPr>
            <w:tcW w:w="9198" w:type="dxa"/>
            <w:vAlign w:val="top"/>
          </w:tcPr>
          <w:p>
            <w:pPr>
              <w:spacing w:line="240" w:lineRule="exact"/>
              <w:ind w:left="100" w:hanging="105" w:hangingChars="50"/>
              <w:rPr>
                <w:b/>
                <w:color w:val="000000" w:themeColor="text1"/>
                <w:sz w:val="21"/>
                <w:szCs w:val="21"/>
                <w:highlight w:val="none"/>
              </w:rPr>
            </w:pPr>
            <w:r>
              <w:rPr>
                <w:rFonts w:hint="eastAsia"/>
                <w:b/>
                <w:color w:val="000000" w:themeColor="text1"/>
                <w:sz w:val="21"/>
                <w:szCs w:val="21"/>
                <w:highlight w:val="none"/>
              </w:rPr>
              <w:t>2.顾客满意</w:t>
            </w:r>
          </w:p>
          <w:p>
            <w:pPr>
              <w:spacing w:line="240" w:lineRule="exact"/>
              <w:ind w:left="120" w:leftChars="50" w:firstLine="315" w:firstLineChars="150"/>
              <w:rPr>
                <w:rFonts w:ascii="Times New Roman" w:hAnsi="Times New Roman" w:eastAsia="宋体" w:cs="Times New Roman"/>
                <w:b/>
                <w:color w:val="000000" w:themeColor="text1"/>
                <w:kern w:val="2"/>
                <w:sz w:val="21"/>
                <w:szCs w:val="21"/>
                <w:highlight w:val="none"/>
                <w:lang w:val="en-US" w:eastAsia="zh-CN" w:bidi="ar-SA"/>
              </w:rPr>
            </w:pPr>
            <w:r>
              <w:rPr>
                <w:rFonts w:hint="eastAsia" w:ascii="宋体" w:hAnsi="宋体" w:cs="宋体"/>
                <w:color w:val="000000"/>
                <w:sz w:val="21"/>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 w:val="21"/>
                <w:szCs w:val="21"/>
                <w:highlight w:val="none"/>
              </w:rPr>
              <w:t>202</w:t>
            </w:r>
            <w:r>
              <w:rPr>
                <w:rFonts w:hint="eastAsia" w:ascii="宋体" w:hAnsi="宋体" w:cs="宋体"/>
                <w:sz w:val="21"/>
                <w:szCs w:val="21"/>
                <w:highlight w:val="none"/>
                <w:lang w:val="en-US" w:eastAsia="zh-CN"/>
              </w:rPr>
              <w:t>1</w:t>
            </w:r>
            <w:r>
              <w:rPr>
                <w:rFonts w:hint="eastAsia" w:ascii="宋体" w:hAnsi="宋体" w:cs="宋体"/>
                <w:sz w:val="21"/>
                <w:szCs w:val="21"/>
                <w:highlight w:val="none"/>
              </w:rPr>
              <w:t>年</w:t>
            </w:r>
            <w:r>
              <w:rPr>
                <w:rFonts w:hint="eastAsia" w:ascii="宋体" w:hAnsi="宋体" w:cs="宋体"/>
                <w:sz w:val="21"/>
                <w:szCs w:val="21"/>
                <w:highlight w:val="none"/>
                <w:lang w:val="en-US" w:eastAsia="zh-CN"/>
              </w:rPr>
              <w:t>2月</w:t>
            </w:r>
            <w:r>
              <w:rPr>
                <w:rFonts w:hint="eastAsia" w:ascii="宋体" w:hAnsi="宋体" w:cs="宋体"/>
                <w:sz w:val="21"/>
                <w:szCs w:val="21"/>
                <w:highlight w:val="none"/>
              </w:rPr>
              <w:t>实施，满意度评价96分，总体实现了顾客满意度的质量目标要求。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3. 内审（包括内审策划审核方案中考虑拟审核的过程和区域的状况和重要性）</w:t>
            </w:r>
          </w:p>
          <w:p>
            <w:pPr>
              <w:spacing w:line="240" w:lineRule="exact"/>
              <w:rPr>
                <w:rFonts w:ascii="Times New Roman" w:hAnsi="Times New Roman" w:eastAsia="宋体" w:cs="Times New Roman"/>
                <w:b/>
                <w:color w:val="FF0000"/>
                <w:kern w:val="2"/>
                <w:sz w:val="21"/>
                <w:szCs w:val="21"/>
                <w:lang w:val="en-US" w:eastAsia="zh-CN" w:bidi="ar-SA"/>
              </w:rPr>
            </w:pPr>
            <w:r>
              <w:rPr>
                <w:rFonts w:hint="eastAsia" w:ascii="宋体" w:hAnsi="宋体"/>
                <w:sz w:val="21"/>
                <w:szCs w:val="21"/>
              </w:rPr>
              <w:t>建立有《内部审核控制程序》</w:t>
            </w:r>
            <w:r>
              <w:rPr>
                <w:rFonts w:hint="eastAsia" w:ascii="宋体" w:hAnsi="宋体" w:cs="Times New Roman"/>
                <w:sz w:val="21"/>
                <w:szCs w:val="21"/>
              </w:rPr>
              <w:t>，规定了内审频次一年一次，内审时间：202</w:t>
            </w:r>
            <w:r>
              <w:rPr>
                <w:rFonts w:hint="eastAsia" w:ascii="宋体" w:hAnsi="宋体" w:cs="Times New Roman"/>
                <w:sz w:val="21"/>
                <w:szCs w:val="21"/>
                <w:lang w:val="en-US" w:eastAsia="zh-CN"/>
              </w:rPr>
              <w:t>1</w:t>
            </w:r>
            <w:r>
              <w:rPr>
                <w:rFonts w:hint="eastAsia" w:ascii="宋体" w:hAnsi="宋体" w:cs="Times New Roman"/>
                <w:sz w:val="21"/>
                <w:szCs w:val="21"/>
              </w:rPr>
              <w:t>年3月</w:t>
            </w:r>
            <w:r>
              <w:rPr>
                <w:rFonts w:hint="eastAsia" w:ascii="宋体" w:hAnsi="宋体" w:cs="Times New Roman"/>
                <w:sz w:val="21"/>
                <w:szCs w:val="21"/>
                <w:lang w:val="en-US" w:eastAsia="zh-CN"/>
              </w:rPr>
              <w:t>2</w:t>
            </w:r>
            <w:r>
              <w:rPr>
                <w:rFonts w:hint="eastAsia" w:ascii="宋体" w:hAnsi="宋体" w:cs="Times New Roman"/>
                <w:sz w:val="21"/>
                <w:szCs w:val="21"/>
              </w:rPr>
              <w:t>日，拟定了审核实施表，明确了内审范围，内审人员经培训合格上岗，能力满足要求，未出现审核本部门情况，内审不符合项1项，涉及综合部Q</w:t>
            </w:r>
            <w:r>
              <w:rPr>
                <w:rFonts w:hint="eastAsia" w:ascii="宋体" w:hAnsi="宋体" w:cs="Times New Roman"/>
                <w:sz w:val="21"/>
                <w:szCs w:val="21"/>
                <w:lang w:val="en-US" w:eastAsia="zh-CN"/>
              </w:rPr>
              <w:t>8.4</w:t>
            </w:r>
            <w:r>
              <w:rPr>
                <w:rFonts w:hint="eastAsia" w:ascii="宋体" w:hAnsi="宋体" w:cs="Times New Roman"/>
                <w:sz w:val="21"/>
                <w:szCs w:val="21"/>
              </w:rPr>
              <w:t>条款</w:t>
            </w:r>
            <w:r>
              <w:rPr>
                <w:rFonts w:hint="eastAsia" w:ascii="宋体" w:hAnsi="宋体" w:cs="Times New Roman"/>
                <w:sz w:val="21"/>
                <w:szCs w:val="21"/>
                <w:lang w:eastAsia="zh-CN"/>
              </w:rPr>
              <w:t>，相关人员不能提供对部分供应商进行评价的相关证据</w:t>
            </w:r>
            <w:r>
              <w:rPr>
                <w:rFonts w:hint="eastAsia" w:ascii="宋体" w:hAnsi="宋体" w:cs="Times New Roman"/>
                <w:sz w:val="21"/>
                <w:szCs w:val="21"/>
              </w:rPr>
              <w:t>，，针对该不符合项，已及时采取</w:t>
            </w:r>
            <w:r>
              <w:rPr>
                <w:rFonts w:hint="eastAsia" w:ascii="宋体" w:hAnsi="宋体"/>
                <w:sz w:val="21"/>
                <w:szCs w:val="21"/>
              </w:rPr>
              <w:t>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4.管理评审（管理评审体系变更需求，纠正和预防措施、体系有效性等）</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sz w:val="21"/>
                <w:szCs w:val="21"/>
              </w:rPr>
              <w:t>管理评审频次为一年一次、本次管理评审于</w:t>
            </w:r>
            <w:r>
              <w:rPr>
                <w:rFonts w:hint="eastAsia" w:ascii="宋体" w:hAnsi="宋体" w:cs="宋体"/>
                <w:sz w:val="21"/>
                <w:szCs w:val="21"/>
                <w:lang w:val="en-US" w:eastAsia="zh-CN"/>
              </w:rPr>
              <w:t>2021年3月10日</w:t>
            </w:r>
            <w:r>
              <w:rPr>
                <w:rFonts w:hint="eastAsia" w:ascii="宋体" w:hAnsi="宋体" w:cs="宋体"/>
                <w:sz w:val="21"/>
                <w:szCs w:val="21"/>
              </w:rPr>
              <w:t>由</w:t>
            </w:r>
            <w:r>
              <w:rPr>
                <w:rFonts w:hint="eastAsia" w:ascii="宋体" w:hAnsi="宋体" w:cs="宋体"/>
                <w:sz w:val="21"/>
                <w:szCs w:val="21"/>
              </w:rPr>
              <w:t>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5.  EMS是否按规定对主要污染物（污水、废气、噪声、废渣等）及排放实施了例行的监视或测量，结果是否满足相关要求？</w:t>
            </w:r>
          </w:p>
          <w:p>
            <w:pPr>
              <w:spacing w:line="240" w:lineRule="exact"/>
              <w:ind w:firstLine="210" w:firstLineChars="100"/>
              <w:rPr>
                <w:rFonts w:ascii="Times New Roman" w:hAnsi="Times New Roman" w:eastAsia="宋体" w:cs="Times New Roman"/>
                <w:kern w:val="2"/>
                <w:sz w:val="21"/>
                <w:szCs w:val="21"/>
                <w:lang w:val="en-US" w:eastAsia="zh-CN" w:bidi="ar-SA"/>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 xml:space="preserve">国家/地方环保部门监测结果、新改扩建项目符合环评报告、三同时验收报告要求情况及措施 </w:t>
            </w:r>
          </w:p>
          <w:p>
            <w:pPr>
              <w:spacing w:line="240" w:lineRule="exact"/>
              <w:rPr>
                <w:rFonts w:ascii="Times New Roman" w:hAnsi="Times New Roman" w:eastAsia="宋体" w:cs="Times New Roman"/>
                <w:b/>
                <w:kern w:val="2"/>
                <w:sz w:val="21"/>
                <w:szCs w:val="21"/>
                <w:lang w:val="en-US" w:eastAsia="zh-CN" w:bidi="ar-SA"/>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8.OHSMS国家/地方职业健康安全部门监督检查情况及措施</w:t>
            </w:r>
          </w:p>
          <w:p>
            <w:pPr>
              <w:spacing w:line="240" w:lineRule="exact"/>
              <w:rPr>
                <w:rFonts w:ascii="Times New Roman" w:hAnsi="Times New Roman" w:eastAsia="宋体" w:cs="Times New Roman"/>
                <w:b/>
                <w:kern w:val="2"/>
                <w:sz w:val="21"/>
                <w:szCs w:val="21"/>
                <w:lang w:val="en-US" w:eastAsia="zh-CN" w:bidi="ar-SA"/>
              </w:rPr>
            </w:pPr>
            <w:r>
              <w:rPr>
                <w:rFonts w:hint="eastAsia"/>
                <w:b/>
                <w:sz w:val="21"/>
                <w:szCs w:val="21"/>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1"/>
                <w:szCs w:val="21"/>
              </w:rPr>
            </w:pPr>
            <w:r>
              <w:rPr>
                <w:rFonts w:hint="eastAsia"/>
                <w:b/>
                <w:color w:val="000000" w:themeColor="text1"/>
                <w:sz w:val="21"/>
                <w:szCs w:val="21"/>
              </w:rPr>
              <w:t>9. 其他能够标明组织绩效、信誉的证据/信息：</w:t>
            </w:r>
          </w:p>
          <w:p>
            <w:pPr>
              <w:widowControl/>
              <w:spacing w:line="240" w:lineRule="exact"/>
              <w:rPr>
                <w:rFonts w:ascii="Times New Roman" w:hAnsi="Times New Roman" w:eastAsia="宋体" w:cs="Times New Roman"/>
                <w:b/>
                <w:kern w:val="2"/>
                <w:sz w:val="21"/>
                <w:szCs w:val="21"/>
                <w:lang w:val="en-US" w:eastAsia="zh-CN" w:bidi="ar-SA"/>
              </w:rPr>
            </w:pPr>
            <w:r>
              <w:rPr>
                <w:rFonts w:hint="eastAsia"/>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2"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b/>
                <w:color w:val="000000" w:themeColor="text1"/>
                <w:sz w:val="21"/>
                <w:szCs w:val="21"/>
              </w:rPr>
            </w:pPr>
            <w:r>
              <w:rPr>
                <w:rFonts w:hint="eastAsia"/>
                <w:b/>
                <w:color w:val="000000" w:themeColor="text1"/>
                <w:sz w:val="21"/>
                <w:szCs w:val="21"/>
              </w:rPr>
              <w:t>1 纠正/预防措施的实施及效果</w:t>
            </w:r>
            <w:r>
              <w:rPr>
                <w:rFonts w:hint="eastAsia"/>
                <w:b/>
                <w:color w:val="000000" w:themeColor="text1"/>
                <w:spacing w:val="-8"/>
                <w:sz w:val="21"/>
                <w:szCs w:val="21"/>
              </w:rPr>
              <w:t>;</w:t>
            </w:r>
          </w:p>
          <w:p>
            <w:pPr>
              <w:spacing w:line="400" w:lineRule="exact"/>
              <w:ind w:firstLine="420" w:firstLineChars="20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themeColor="text1"/>
                <w:sz w:val="21"/>
                <w:szCs w:val="21"/>
              </w:rPr>
              <w:t>公司明确通过对内、外审核结果、管理评审输出、监测和测量等活动中识别出</w:t>
            </w:r>
            <w:r>
              <w:rPr>
                <w:rFonts w:hint="eastAsia" w:ascii="宋体" w:hAnsi="宋体"/>
                <w:color w:val="000000" w:themeColor="text1"/>
                <w:sz w:val="21"/>
                <w:szCs w:val="21"/>
              </w:rPr>
              <w:t>在产品/服务、过程、管理体系等方面</w:t>
            </w:r>
            <w:r>
              <w:rPr>
                <w:rFonts w:hint="eastAsia" w:ascii="宋体" w:hAnsi="宋体" w:cs="宋体"/>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21"/>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color w:val="auto"/>
                <w:sz w:val="21"/>
                <w:szCs w:val="21"/>
              </w:rPr>
            </w:pPr>
            <w:r>
              <w:rPr>
                <w:rFonts w:ascii="宋体" w:hAnsi="宋体"/>
                <w:b/>
                <w:color w:val="auto"/>
                <w:sz w:val="21"/>
                <w:szCs w:val="21"/>
              </w:rPr>
              <w:t>2.</w:t>
            </w:r>
            <w:r>
              <w:rPr>
                <w:rFonts w:hint="eastAsia" w:ascii="宋体" w:hAnsi="宋体"/>
                <w:b/>
                <w:color w:val="auto"/>
                <w:sz w:val="21"/>
                <w:szCs w:val="21"/>
              </w:rPr>
              <w:t>（上次审核后）重大事故、顾客</w:t>
            </w:r>
            <w:r>
              <w:rPr>
                <w:rFonts w:ascii="宋体" w:hAnsi="宋体"/>
                <w:b/>
                <w:color w:val="auto"/>
                <w:sz w:val="21"/>
                <w:szCs w:val="21"/>
              </w:rPr>
              <w:t>/</w:t>
            </w:r>
            <w:r>
              <w:rPr>
                <w:rFonts w:hint="eastAsia" w:ascii="宋体" w:hAnsi="宋体"/>
                <w:b/>
                <w:color w:val="auto"/>
                <w:sz w:val="21"/>
                <w:szCs w:val="21"/>
              </w:rPr>
              <w:t>相关方投诉：</w:t>
            </w:r>
          </w:p>
          <w:p>
            <w:pPr>
              <w:spacing w:line="240" w:lineRule="exact"/>
              <w:rPr>
                <w:rFonts w:hint="eastAsia" w:ascii="宋体" w:hAnsi="宋体" w:eastAsia="宋体"/>
                <w:b/>
                <w:color w:val="auto"/>
                <w:sz w:val="21"/>
                <w:szCs w:val="21"/>
                <w:lang w:val="en-US" w:eastAsia="zh-CN"/>
              </w:rPr>
            </w:pPr>
            <w:r>
              <w:rPr>
                <w:rFonts w:hint="eastAsia" w:ascii="宋体" w:hAnsi="宋体"/>
                <w:b/>
                <w:color w:val="auto"/>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b/>
                <w:color w:val="auto"/>
                <w:sz w:val="21"/>
                <w:szCs w:val="21"/>
              </w:rPr>
            </w:pPr>
            <w:r>
              <w:rPr>
                <w:rFonts w:hint="eastAsia" w:ascii="宋体" w:hAnsi="宋体"/>
                <w:b/>
                <w:color w:val="auto"/>
                <w:sz w:val="21"/>
                <w:szCs w:val="21"/>
                <w:lang w:val="en-US" w:eastAsia="zh-CN"/>
              </w:rPr>
              <w:t>3.</w:t>
            </w:r>
            <w:r>
              <w:rPr>
                <w:rFonts w:hint="eastAsia" w:ascii="宋体" w:hAnsi="宋体"/>
                <w:b/>
                <w:color w:val="auto"/>
                <w:sz w:val="21"/>
                <w:szCs w:val="21"/>
              </w:rPr>
              <w:t>创新情况</w:t>
            </w:r>
          </w:p>
          <w:p>
            <w:pPr>
              <w:pStyle w:val="2"/>
              <w:numPr>
                <w:ilvl w:val="0"/>
                <w:numId w:val="0"/>
              </w:numPr>
              <w:rPr>
                <w:rFonts w:hint="eastAsia" w:eastAsia="宋体"/>
                <w:color w:val="auto"/>
                <w:sz w:val="21"/>
                <w:szCs w:val="21"/>
                <w:lang w:val="en-US" w:eastAsia="zh-CN"/>
              </w:rPr>
            </w:pPr>
            <w:r>
              <w:rPr>
                <w:rFonts w:hint="eastAsia"/>
                <w:color w:val="auto"/>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rPr>
                <w:rFonts w:hint="eastAsia"/>
                <w:b/>
                <w:bCs/>
                <w:color w:val="auto"/>
                <w:sz w:val="21"/>
                <w:szCs w:val="21"/>
              </w:rPr>
            </w:pPr>
            <w:r>
              <w:rPr>
                <w:rFonts w:hint="eastAsia"/>
                <w:b/>
                <w:bCs/>
                <w:color w:val="auto"/>
                <w:sz w:val="21"/>
                <w:szCs w:val="21"/>
              </w:rPr>
              <w:t>上次不符合的整改情况</w:t>
            </w:r>
          </w:p>
          <w:p>
            <w:pP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上次不符合为工程部Q7.1.5条款，经本次审核验证均整改且无类似不符合情况出现。</w:t>
            </w:r>
          </w:p>
          <w:p>
            <w:pPr>
              <w:pStyle w:val="2"/>
              <w:numPr>
                <w:ilvl w:val="0"/>
                <w:numId w:val="0"/>
              </w:numPr>
              <w:rPr>
                <w:color w:val="auto"/>
                <w:sz w:val="21"/>
                <w:szCs w:val="21"/>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rPr>
        <w:sym w:font="Wingdings 2" w:char="0052"/>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highlight w:val="none"/>
        </w:rPr>
      </w:pPr>
      <w:r>
        <w:rPr>
          <w:rFonts w:hint="eastAsia"/>
          <w:b/>
          <w:sz w:val="26"/>
          <w:szCs w:val="26"/>
        </w:rPr>
        <w:t>八、本次审核不符合项</w:t>
      </w:r>
    </w:p>
    <w:p>
      <w:pPr>
        <w:spacing w:line="400" w:lineRule="exact"/>
        <w:ind w:left="420" w:leftChars="175" w:firstLine="101" w:firstLineChars="42"/>
        <w:rPr>
          <w:rFonts w:ascii="宋体" w:hAnsi="宋体"/>
          <w:b/>
          <w:szCs w:val="21"/>
          <w:highlight w:val="none"/>
        </w:rPr>
      </w:pPr>
      <w:r>
        <w:rPr>
          <w:rFonts w:hint="eastAsia" w:ascii="宋体" w:hAnsi="宋体"/>
          <w:b/>
          <w:szCs w:val="21"/>
          <w:highlight w:val="none"/>
        </w:rPr>
        <w:t>本次审核共开具不符合项报告</w:t>
      </w:r>
      <w:r>
        <w:rPr>
          <w:rFonts w:hint="eastAsia" w:ascii="宋体" w:hAnsi="宋体"/>
          <w:b/>
          <w:szCs w:val="21"/>
          <w:highlight w:val="none"/>
          <w:lang w:val="en-US" w:eastAsia="zh-CN"/>
        </w:rPr>
        <w:t>1</w:t>
      </w:r>
      <w:r>
        <w:rPr>
          <w:rFonts w:hint="eastAsia" w:ascii="宋体" w:hAnsi="宋体"/>
          <w:b/>
          <w:szCs w:val="21"/>
          <w:highlight w:val="none"/>
        </w:rPr>
        <w:t>项；其中</w:t>
      </w:r>
      <w:r>
        <w:rPr>
          <w:rFonts w:ascii="宋体" w:hAnsi="宋体"/>
          <w:b/>
          <w:szCs w:val="21"/>
          <w:highlight w:val="none"/>
        </w:rPr>
        <w:pict>
          <v:line id="直接连接符 1" o:spid="_x0000_s2055"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highlight w:val="none"/>
        </w:rPr>
        <w:t>严重不符合</w:t>
      </w:r>
      <w:r>
        <w:rPr>
          <w:rFonts w:hint="eastAsia" w:ascii="宋体" w:hAnsi="宋体"/>
          <w:b/>
          <w:szCs w:val="21"/>
          <w:highlight w:val="none"/>
          <w:lang w:val="en-US" w:eastAsia="zh-CN"/>
        </w:rPr>
        <w:t>0</w:t>
      </w:r>
      <w:r>
        <w:rPr>
          <w:rFonts w:hint="eastAsia" w:ascii="宋体" w:hAnsi="宋体"/>
          <w:b/>
          <w:szCs w:val="21"/>
          <w:highlight w:val="none"/>
        </w:rPr>
        <w:t>项，一般不符合</w:t>
      </w:r>
      <w:r>
        <w:rPr>
          <w:rFonts w:hint="eastAsia" w:ascii="宋体" w:hAnsi="宋体"/>
          <w:b/>
          <w:szCs w:val="21"/>
          <w:highlight w:val="none"/>
          <w:lang w:val="en-US" w:eastAsia="zh-CN"/>
        </w:rPr>
        <w:t>1</w:t>
      </w:r>
      <w:r>
        <w:rPr>
          <w:rFonts w:hint="eastAsia" w:ascii="宋体" w:hAnsi="宋体"/>
          <w:b/>
          <w:szCs w:val="21"/>
          <w:highlight w:val="none"/>
        </w:rPr>
        <w:t>项，观察项</w:t>
      </w:r>
      <w:r>
        <w:rPr>
          <w:rFonts w:hint="eastAsia" w:ascii="宋体" w:hAnsi="宋体"/>
          <w:b/>
          <w:szCs w:val="21"/>
          <w:highlight w:val="none"/>
          <w:lang w:val="en-US" w:eastAsia="zh-CN"/>
        </w:rPr>
        <w:t>0</w:t>
      </w:r>
      <w:r>
        <w:rPr>
          <w:rFonts w:hint="eastAsia" w:ascii="宋体" w:hAnsi="宋体"/>
          <w:b/>
          <w:szCs w:val="21"/>
          <w:highlight w:val="none"/>
        </w:rPr>
        <w:t>项分布在</w:t>
      </w:r>
      <w:r>
        <w:rPr>
          <w:rFonts w:hint="eastAsia" w:ascii="宋体" w:hAnsi="宋体"/>
          <w:b/>
          <w:szCs w:val="21"/>
          <w:highlight w:val="none"/>
          <w:lang w:val="en-US" w:eastAsia="zh-CN"/>
        </w:rPr>
        <w:t>工程部</w:t>
      </w:r>
      <w:r>
        <w:rPr>
          <w:rFonts w:hint="eastAsia" w:ascii="宋体" w:hAnsi="宋体"/>
          <w:b/>
          <w:szCs w:val="21"/>
          <w:highlight w:val="none"/>
        </w:rPr>
        <w:t>部门</w:t>
      </w:r>
      <w:r>
        <w:rPr>
          <w:rFonts w:hint="eastAsia" w:ascii="宋体" w:hAnsi="宋体"/>
          <w:b/>
          <w:szCs w:val="21"/>
          <w:highlight w:val="none"/>
          <w:lang w:val="en-US" w:eastAsia="zh-CN"/>
        </w:rPr>
        <w:t>8.5.1</w:t>
      </w:r>
      <w:r>
        <w:rPr>
          <w:rFonts w:hint="eastAsia" w:ascii="宋体" w:hAnsi="宋体"/>
          <w:b/>
          <w:szCs w:val="21"/>
          <w:highlight w:val="none"/>
        </w:rPr>
        <w:t>条款，见不符合项分布表。（</w:t>
      </w:r>
      <w:r>
        <w:rPr>
          <w:rFonts w:ascii="宋体" w:hAnsi="宋体"/>
          <w:b/>
          <w:szCs w:val="21"/>
          <w:highlight w:val="none"/>
        </w:rPr>
        <w:t>Q/J/E/S</w:t>
      </w:r>
      <w:r>
        <w:rPr>
          <w:rFonts w:hint="eastAsia" w:ascii="宋体" w:hAnsi="宋体"/>
          <w:b/>
          <w:szCs w:val="21"/>
          <w:highlight w:val="none"/>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2"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u w:val="single"/>
          <w:lang w:val="en-US" w:eastAsia="zh-CN"/>
        </w:rPr>
        <w:t xml:space="preserve"> 60 </w:t>
      </w:r>
      <w:r>
        <w:rPr>
          <w:rFonts w:hint="eastAsia"/>
          <w:b/>
          <w:sz w:val="21"/>
        </w:rPr>
        <w:t>天针对不符合原因制定并实施纠正措施。验证方式见不符合项报告。</w:t>
      </w:r>
    </w:p>
    <w:p>
      <w:pPr>
        <w:spacing w:before="163" w:beforeLines="50" w:after="163"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tabs>
          <w:tab w:val="left" w:pos="645"/>
        </w:tabs>
        <w:spacing w:after="163" w:afterLines="50" w:line="360" w:lineRule="exact"/>
        <w:rPr>
          <w:b/>
          <w:sz w:val="16"/>
          <w:szCs w:val="16"/>
        </w:rPr>
      </w:pPr>
      <w:r>
        <w:rPr>
          <w:rFonts w:hint="eastAsia" w:ascii="宋体" w:hAnsi="宋体" w:eastAsia="宋体" w:cs="Times New Roman"/>
          <w:kern w:val="2"/>
          <w:sz w:val="21"/>
          <w:szCs w:val="22"/>
          <w:lang w:val="en-US" w:eastAsia="zh-CN" w:bidi="ar-SA"/>
        </w:rPr>
        <w:drawing>
          <wp:anchor distT="0" distB="0" distL="114300" distR="114300" simplePos="0" relativeHeight="251660288" behindDoc="0" locked="0" layoutInCell="1" allowOverlap="1">
            <wp:simplePos x="0" y="0"/>
            <wp:positionH relativeFrom="column">
              <wp:posOffset>1800225</wp:posOffset>
            </wp:positionH>
            <wp:positionV relativeFrom="paragraph">
              <wp:posOffset>226060</wp:posOffset>
            </wp:positionV>
            <wp:extent cx="411480" cy="381000"/>
            <wp:effectExtent l="0" t="0" r="7620" b="0"/>
            <wp:wrapNone/>
            <wp:docPr id="3" name="图片 4"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45e69cce4380e02713697e955d1ffd9"/>
                    <pic:cNvPicPr>
                      <a:picLocks noChangeAspect="1"/>
                    </pic:cNvPicPr>
                  </pic:nvPicPr>
                  <pic:blipFill>
                    <a:blip r:embed="rId6"/>
                    <a:stretch>
                      <a:fillRect/>
                    </a:stretch>
                  </pic:blipFill>
                  <pic:spPr>
                    <a:xfrm>
                      <a:off x="0" y="0"/>
                      <a:ext cx="411480" cy="38100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2" w:firstLineChars="250"/>
        <w:rPr>
          <w:b/>
          <w:sz w:val="21"/>
          <w:highlight w:val="none"/>
        </w:rPr>
      </w:pPr>
      <w:r>
        <w:rPr>
          <w:rFonts w:hint="eastAsia"/>
          <w:b/>
          <w:sz w:val="22"/>
          <w:szCs w:val="22"/>
        </w:rPr>
        <w:drawing>
          <wp:anchor distT="0" distB="0" distL="114300" distR="114300" simplePos="0" relativeHeight="251661312" behindDoc="0" locked="0" layoutInCell="1" allowOverlap="1">
            <wp:simplePos x="0" y="0"/>
            <wp:positionH relativeFrom="column">
              <wp:posOffset>1851660</wp:posOffset>
            </wp:positionH>
            <wp:positionV relativeFrom="paragraph">
              <wp:posOffset>114935</wp:posOffset>
            </wp:positionV>
            <wp:extent cx="443865" cy="335915"/>
            <wp:effectExtent l="0" t="0" r="635" b="6985"/>
            <wp:wrapNone/>
            <wp:docPr id="2"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签名.jpg"/>
                    <pic:cNvPicPr>
                      <a:picLocks noChangeAspect="1"/>
                    </pic:cNvPicPr>
                  </pic:nvPicPr>
                  <pic:blipFill>
                    <a:blip r:embed="rId7"/>
                    <a:stretch>
                      <a:fillRect/>
                    </a:stretch>
                  </pic:blipFill>
                  <pic:spPr>
                    <a:xfrm>
                      <a:off x="0" y="0"/>
                      <a:ext cx="443865" cy="335915"/>
                    </a:xfrm>
                    <a:prstGeom prst="rect">
                      <a:avLst/>
                    </a:prstGeom>
                    <a:noFill/>
                    <a:ln>
                      <a:noFill/>
                    </a:ln>
                  </pic:spPr>
                </pic:pic>
              </a:graphicData>
            </a:graphic>
          </wp:anchor>
        </w:drawing>
      </w:r>
      <w:r>
        <w:rPr>
          <w:sz w:val="24"/>
        </w:rPr>
        <w:drawing>
          <wp:anchor distT="0" distB="0" distL="114300" distR="114300" simplePos="0" relativeHeight="251662336" behindDoc="0" locked="0" layoutInCell="1" allowOverlap="1">
            <wp:simplePos x="0" y="0"/>
            <wp:positionH relativeFrom="column">
              <wp:posOffset>2334260</wp:posOffset>
            </wp:positionH>
            <wp:positionV relativeFrom="paragraph">
              <wp:posOffset>93980</wp:posOffset>
            </wp:positionV>
            <wp:extent cx="590550" cy="426720"/>
            <wp:effectExtent l="0" t="0" r="6350" b="5080"/>
            <wp:wrapNone/>
            <wp:docPr id="1"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AppData\Local\Temp\WeChat Files\5990baca09647c352f1321b31faa90a.jpg"/>
                    <pic:cNvPicPr>
                      <a:picLocks noChangeAspect="1"/>
                    </pic:cNvPicPr>
                  </pic:nvPicPr>
                  <pic:blipFill>
                    <a:blip r:embed="rId8"/>
                    <a:stretch>
                      <a:fillRect/>
                    </a:stretch>
                  </pic:blipFill>
                  <pic:spPr>
                    <a:xfrm>
                      <a:off x="0" y="0"/>
                      <a:ext cx="590550" cy="426720"/>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b/>
          <w:sz w:val="21"/>
          <w:highlight w:val="none"/>
        </w:rPr>
      </w:pPr>
      <w:r>
        <w:rPr>
          <w:rFonts w:hint="eastAsia"/>
          <w:b/>
          <w:sz w:val="21"/>
          <w:highlight w:val="none"/>
        </w:rPr>
        <w:t>日期：</w:t>
      </w:r>
      <w:r>
        <w:rPr>
          <w:rFonts w:hint="eastAsia"/>
          <w:b/>
          <w:sz w:val="20"/>
          <w:highlight w:val="none"/>
        </w:rPr>
        <w:t>2021年06月16日</w:t>
      </w:r>
    </w:p>
    <w:p>
      <w:pPr>
        <w:snapToGrid w:val="0"/>
        <w:spacing w:line="200" w:lineRule="exact"/>
        <w:ind w:firstLine="482" w:firstLineChars="300"/>
        <w:rPr>
          <w:b/>
          <w:sz w:val="16"/>
          <w:szCs w:val="16"/>
          <w:highlight w:val="none"/>
        </w:rPr>
      </w:pPr>
    </w:p>
    <w:p>
      <w:pPr>
        <w:tabs>
          <w:tab w:val="left" w:pos="645"/>
        </w:tabs>
        <w:spacing w:after="163" w:afterLines="50" w:line="360" w:lineRule="exact"/>
        <w:rPr>
          <w:b/>
          <w:bCs/>
          <w:sz w:val="16"/>
          <w:szCs w:val="16"/>
          <w:highlight w:val="none"/>
        </w:rPr>
      </w:pPr>
      <w:r>
        <w:rPr>
          <w:rFonts w:hint="eastAsia"/>
          <w:b/>
          <w:sz w:val="26"/>
          <w:szCs w:val="26"/>
          <w:highlight w:val="none"/>
        </w:rPr>
        <w:t>十三、纠正措施验证及结论</w:t>
      </w:r>
      <w:r>
        <w:rPr>
          <w:rFonts w:hint="eastAsia"/>
          <w:b/>
          <w:bCs/>
          <w:sz w:val="16"/>
          <w:szCs w:val="16"/>
          <w:highlight w:val="none"/>
        </w:rPr>
        <w:t>：</w:t>
      </w:r>
    </w:p>
    <w:p>
      <w:pPr>
        <w:spacing w:line="360" w:lineRule="exact"/>
        <w:ind w:firstLine="527" w:firstLineChars="250"/>
        <w:rPr>
          <w:b/>
          <w:bCs/>
          <w:sz w:val="21"/>
          <w:szCs w:val="21"/>
          <w:highlight w:val="none"/>
        </w:rPr>
      </w:pPr>
      <w:r>
        <w:rPr>
          <w:b/>
          <w:bCs/>
          <w:sz w:val="21"/>
          <w:szCs w:val="21"/>
          <w:highlight w:val="none"/>
        </w:rPr>
        <w:t>1.</w:t>
      </w:r>
      <w:r>
        <w:rPr>
          <w:rFonts w:hint="eastAsia"/>
          <w:b/>
          <w:bCs/>
          <w:sz w:val="21"/>
          <w:szCs w:val="21"/>
          <w:highlight w:val="none"/>
        </w:rPr>
        <w:t>审核中发现的</w:t>
      </w:r>
      <w:r>
        <w:rPr>
          <w:rFonts w:hint="eastAsia"/>
          <w:b/>
          <w:sz w:val="21"/>
          <w:szCs w:val="21"/>
          <w:highlight w:val="none"/>
        </w:rPr>
        <w:sym w:font="Wingdings 2" w:char="0052"/>
      </w:r>
      <w:r>
        <w:rPr>
          <w:b/>
          <w:sz w:val="21"/>
          <w:szCs w:val="21"/>
          <w:highlight w:val="none"/>
        </w:rPr>
        <w:t>QMS (</w:t>
      </w:r>
      <w:r>
        <w:rPr>
          <w:rFonts w:hint="eastAsia"/>
          <w:b/>
          <w:sz w:val="21"/>
          <w:szCs w:val="21"/>
          <w:highlight w:val="none"/>
          <w:lang w:val="en-US" w:eastAsia="zh-CN"/>
        </w:rPr>
        <w:t xml:space="preserve">  1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0  </w:t>
      </w:r>
      <w:r>
        <w:rPr>
          <w:b/>
          <w:sz w:val="21"/>
          <w:szCs w:val="21"/>
          <w:highlight w:val="none"/>
        </w:rPr>
        <w:t>)</w:t>
      </w:r>
      <w:r>
        <w:rPr>
          <w:rFonts w:hint="eastAsia"/>
          <w:b/>
          <w:sz w:val="21"/>
          <w:szCs w:val="21"/>
          <w:highlight w:val="none"/>
        </w:rPr>
        <w:t>个严重不符合，</w:t>
      </w:r>
      <w:r>
        <w:rPr>
          <w:rFonts w:hint="eastAsia"/>
          <w:b/>
          <w:sz w:val="21"/>
          <w:szCs w:val="21"/>
          <w:highlight w:val="none"/>
        </w:rPr>
        <w:sym w:font="Wingdings 2" w:char="0052"/>
      </w:r>
      <w:r>
        <w:rPr>
          <w:rFonts w:hint="eastAsia"/>
          <w:b/>
          <w:sz w:val="21"/>
          <w:szCs w:val="21"/>
          <w:highlight w:val="none"/>
        </w:rPr>
        <w:t>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EMS ()</w:t>
      </w:r>
      <w:r>
        <w:rPr>
          <w:rFonts w:hint="eastAsia"/>
          <w:b/>
          <w:sz w:val="21"/>
          <w:szCs w:val="21"/>
          <w:highlight w:val="none"/>
        </w:rPr>
        <w:t>个一般不符合，</w:t>
      </w:r>
      <w:r>
        <w:rPr>
          <w:b/>
          <w:sz w:val="21"/>
          <w:szCs w:val="21"/>
          <w:highlight w:val="none"/>
        </w:rPr>
        <w:t>( )</w:t>
      </w:r>
      <w:r>
        <w:rPr>
          <w:rFonts w:hint="eastAsia"/>
          <w:b/>
          <w:sz w:val="21"/>
          <w:szCs w:val="21"/>
          <w:highlight w:val="none"/>
        </w:rPr>
        <w:t>个严重不符合，□验证合格□仍有问题</w:t>
      </w:r>
    </w:p>
    <w:p>
      <w:pPr>
        <w:spacing w:line="360" w:lineRule="exact"/>
        <w:ind w:firstLine="843" w:firstLineChars="400"/>
        <w:rPr>
          <w:b/>
          <w:sz w:val="21"/>
          <w:szCs w:val="21"/>
        </w:rPr>
      </w:pPr>
      <w:r>
        <w:rPr>
          <w:rFonts w:hint="eastAsia"/>
          <w:b/>
          <w:bCs/>
          <w:sz w:val="21"/>
          <w:szCs w:val="21"/>
          <w:highlight w:val="none"/>
        </w:rPr>
        <w:t>审核中发现的</w:t>
      </w:r>
      <w:r>
        <w:rPr>
          <w:rFonts w:hint="eastAsia"/>
          <w:b/>
          <w:sz w:val="21"/>
          <w:szCs w:val="21"/>
          <w:highlight w:val="none"/>
        </w:rPr>
        <w:t>□</w:t>
      </w:r>
      <w:r>
        <w:rPr>
          <w:b/>
          <w:sz w:val="21"/>
          <w:szCs w:val="21"/>
          <w:highlight w:val="none"/>
        </w:rPr>
        <w:t>OHSMS (    )</w:t>
      </w:r>
      <w:r>
        <w:rPr>
          <w:rFonts w:hint="eastAsia"/>
          <w:b/>
          <w:sz w:val="21"/>
          <w:szCs w:val="21"/>
          <w:highlight w:val="none"/>
        </w:rPr>
        <w:t>个一般不符合，</w:t>
      </w:r>
      <w:r>
        <w:rPr>
          <w:b/>
          <w:sz w:val="21"/>
          <w:szCs w:val="21"/>
          <w:highlight w:val="none"/>
        </w:rPr>
        <w:t>(    )</w:t>
      </w:r>
      <w:r>
        <w:rPr>
          <w:rFonts w:hint="eastAsia"/>
          <w:b/>
          <w:sz w:val="21"/>
          <w:szCs w:val="21"/>
          <w:highlight w:val="none"/>
        </w:rPr>
        <w:t>个严重不符合，□验证合格□仍有问题</w:t>
      </w:r>
      <w:r>
        <w:rPr>
          <w:rFonts w:hint="eastAsia"/>
          <w:b/>
          <w:bCs/>
          <w:sz w:val="21"/>
          <w:szCs w:val="21"/>
          <w:highlight w:val="none"/>
        </w:rPr>
        <w:t>审</w:t>
      </w: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0" w:firstLineChars="343"/>
        <w:rPr>
          <w:rFonts w:hint="default" w:eastAsia="宋体"/>
          <w:b/>
          <w:sz w:val="21"/>
          <w:szCs w:val="21"/>
          <w:u w:val="single"/>
          <w:lang w:val="en-US" w:eastAsia="zh-CN"/>
        </w:rPr>
      </w:pPr>
      <w:r>
        <w:rPr>
          <w:rFonts w:hint="eastAsia" w:ascii="宋体" w:hAnsi="宋体" w:eastAsia="宋体" w:cs="Times New Roman"/>
          <w:kern w:val="2"/>
          <w:sz w:val="21"/>
          <w:szCs w:val="22"/>
          <w:lang w:val="en-US" w:eastAsia="zh-CN" w:bidi="ar-SA"/>
        </w:rPr>
        <w:drawing>
          <wp:anchor distT="0" distB="0" distL="114300" distR="114300" simplePos="0" relativeHeight="251663360" behindDoc="0" locked="0" layoutInCell="1" allowOverlap="1">
            <wp:simplePos x="0" y="0"/>
            <wp:positionH relativeFrom="column">
              <wp:posOffset>1635760</wp:posOffset>
            </wp:positionH>
            <wp:positionV relativeFrom="paragraph">
              <wp:posOffset>15240</wp:posOffset>
            </wp:positionV>
            <wp:extent cx="411480" cy="381000"/>
            <wp:effectExtent l="0" t="0" r="7620" b="0"/>
            <wp:wrapNone/>
            <wp:docPr id="4" name="图片 4"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5e69cce4380e02713697e955d1ffd9"/>
                    <pic:cNvPicPr>
                      <a:picLocks noChangeAspect="1"/>
                    </pic:cNvPicPr>
                  </pic:nvPicPr>
                  <pic:blipFill>
                    <a:blip r:embed="rId6"/>
                    <a:stretch>
                      <a:fillRect/>
                    </a:stretch>
                  </pic:blipFill>
                  <pic:spPr>
                    <a:xfrm>
                      <a:off x="0" y="0"/>
                      <a:ext cx="411480" cy="381000"/>
                    </a:xfrm>
                    <a:prstGeom prst="rect">
                      <a:avLst/>
                    </a:prstGeom>
                    <a:noFill/>
                    <a:ln>
                      <a:noFill/>
                    </a:ln>
                  </pic:spPr>
                </pic:pic>
              </a:graphicData>
            </a:graphic>
          </wp:anchor>
        </w:drawing>
      </w:r>
      <w:r>
        <w:rPr>
          <w:rFonts w:hint="eastAsia"/>
          <w:b/>
          <w:sz w:val="21"/>
          <w:szCs w:val="21"/>
        </w:rPr>
        <w:t>组长签字：</w:t>
      </w:r>
      <w:r>
        <w:rPr>
          <w:rFonts w:hint="eastAsia"/>
          <w:b/>
          <w:sz w:val="21"/>
          <w:szCs w:val="21"/>
          <w:lang w:val="en-US" w:eastAsia="zh-CN"/>
        </w:rPr>
        <w:t xml:space="preserve">                                </w:t>
      </w:r>
      <w:bookmarkStart w:id="27" w:name="_GoBack"/>
      <w:r>
        <w:rPr>
          <w:rFonts w:hint="eastAsia"/>
          <w:b/>
          <w:sz w:val="21"/>
          <w:szCs w:val="21"/>
          <w:lang w:val="en-US" w:eastAsia="zh-CN"/>
        </w:rPr>
        <w:t>2021年6月18日</w:t>
      </w:r>
      <w:bookmarkEnd w:id="27"/>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5DC64B19"/>
    <w:multiLevelType w:val="singleLevel"/>
    <w:tmpl w:val="5DC64B19"/>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EF01EA"/>
    <w:rsid w:val="0F2B2467"/>
    <w:rsid w:val="288D1DF0"/>
    <w:rsid w:val="5E813B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3"/>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0"/>
    <w:semiHidden/>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character" w:customStyle="1" w:styleId="10">
    <w:name w:val="批注框文本 Char"/>
    <w:link w:val="3"/>
    <w:semiHidden/>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2</TotalTime>
  <ScaleCrop>false</ScaleCrop>
  <LinksUpToDate>false</LinksUpToDate>
  <CharactersWithSpaces>4294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小冉</cp:lastModifiedBy>
  <cp:lastPrinted>2019-04-18T08:15:00Z</cp:lastPrinted>
  <dcterms:modified xsi:type="dcterms:W3CDTF">2021-06-16T07:33:35Z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