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贵州亿海融城环保科技有限公司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钟毅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查顾客满意度调查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：公司20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21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  <w:r>
              <w:rPr>
                <w:rFonts w:hint="eastAsia" w:ascii="方正仿宋简体" w:eastAsia="方正仿宋简体"/>
                <w:b/>
              </w:rPr>
              <w:t>月以问卷形式对顾客进行了满意度调查，共计发放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</w:rPr>
              <w:t>份，回收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</w:rPr>
              <w:t>份。对公司的服务、质量、交付等项进行打分。查《顾客满意度调查表》对满意度进行了统计；通过统计顾客满意度为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98分</w:t>
            </w:r>
            <w:r>
              <w:rPr>
                <w:rFonts w:hint="eastAsia" w:ascii="方正仿宋简体" w:eastAsia="方正仿宋简体"/>
                <w:b/>
              </w:rPr>
              <w:t>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但组织不能提供对顾客满意度调查的信息和数据进行了分析、评价的证据。不符合</w:t>
            </w:r>
            <w:r>
              <w:rPr>
                <w:rFonts w:hint="eastAsia" w:ascii="方正仿宋简体" w:eastAsia="方正仿宋简体"/>
                <w:b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9.1.2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 xml:space="preserve"> 条款：“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组织应监视顾客对其需求和期望已得到满足的程度的感受。组织应确定获取、监视和评审该信息的方法。”的要求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2785110</wp:posOffset>
                  </wp:positionH>
                  <wp:positionV relativeFrom="paragraph">
                    <wp:posOffset>170815</wp:posOffset>
                  </wp:positionV>
                  <wp:extent cx="784860" cy="492125"/>
                  <wp:effectExtent l="0" t="0" r="7620" b="1079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49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123825</wp:posOffset>
                  </wp:positionV>
                  <wp:extent cx="739140" cy="337820"/>
                  <wp:effectExtent l="0" t="0" r="7620" b="1270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2021.6.19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2021.6.19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C451F14"/>
    <w:rsid w:val="11655882"/>
    <w:rsid w:val="3B543335"/>
    <w:rsid w:val="6BC24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2021-06-18T06:59:18Z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4A0946CBCE4F4BAB84C4E218E6326CB4</vt:lpwstr>
  </property>
</Properties>
</file>