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一阶段现场审核计划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734"/>
        <w:gridCol w:w="684"/>
        <w:gridCol w:w="425"/>
        <w:gridCol w:w="425"/>
        <w:gridCol w:w="271"/>
        <w:gridCol w:w="13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贵州亿海融城环保科技有限公司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0599-2021-QEO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段文滨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18088135555</w:t>
            </w:r>
            <w:bookmarkEnd w:id="6"/>
          </w:p>
        </w:tc>
        <w:tc>
          <w:tcPr>
            <w:tcW w:w="1109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849899985@qq.com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8" w:name="最高管理者"/>
            <w:bookmarkEnd w:id="8"/>
            <w:r>
              <w:rPr>
                <w:rFonts w:hint="eastAsia"/>
              </w:rPr>
              <w:t>康婷婷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301" w:type="dxa"/>
            <w:gridSpan w:val="2"/>
            <w:vAlign w:val="center"/>
          </w:tcPr>
          <w:p>
            <w:bookmarkStart w:id="9" w:name="联系人传真"/>
            <w:bookmarkEnd w:id="9"/>
          </w:p>
        </w:tc>
        <w:tc>
          <w:tcPr>
            <w:tcW w:w="1109" w:type="dxa"/>
            <w:gridSpan w:val="2"/>
            <w:vMerge w:val="continue"/>
            <w:vAlign w:val="center"/>
          </w:tcPr>
          <w:p/>
        </w:tc>
        <w:tc>
          <w:tcPr>
            <w:tcW w:w="2079" w:type="dxa"/>
            <w:gridSpan w:val="3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>
            <w:bookmarkStart w:id="10" w:name="审核范围"/>
            <w:r>
              <w:t>Q：污水处理设备、净水设备、机电设备、五金交电的销售</w:t>
            </w:r>
          </w:p>
          <w:p>
            <w:r>
              <w:t>E：污水处理设备、净水设备、机电设备、五金交电的销售所涉及场所的相关环境管理活动</w:t>
            </w:r>
          </w:p>
          <w:p>
            <w:r>
              <w:t>O：污水处理设备、净水设备、机电设备、五金交电的销售所涉及场所的相关职业健康安全管理活动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>
            <w:r>
              <w:rPr>
                <w:rFonts w:hint="eastAsia"/>
              </w:rPr>
              <w:t>专业</w:t>
            </w:r>
          </w:p>
          <w:p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>
            <w:bookmarkStart w:id="11" w:name="专业代码"/>
            <w:r>
              <w:t>Q：29.12.00</w:t>
            </w:r>
          </w:p>
          <w:p>
            <w:r>
              <w:t>E：29.12.00</w:t>
            </w:r>
          </w:p>
          <w:p>
            <w:r>
              <w:t>O：29.12.00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>
              <w:rPr>
                <w:rFonts w:hint="eastAsia" w:ascii="宋体" w:hAnsi="宋体"/>
                <w:b/>
                <w:sz w:val="21"/>
                <w:szCs w:val="21"/>
              </w:rPr>
              <w:t>Q：GB/T19001-2016/ISO9001:2015,E：GB/T 24001-2016/ISO14001:2015,O：GB/T45001-2020 / ISO45001：2018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2021年06月12日 下午至2021年06月12日 下午 (共0.5天)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 w:eastAsia="zh-CN"/>
              </w:rPr>
              <w:t>■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0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805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3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杨珍全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O:审核员</w:t>
            </w:r>
          </w:p>
        </w:tc>
        <w:tc>
          <w:tcPr>
            <w:tcW w:w="30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Q:29.12.00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E:29.12.00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O:29.12.00</w:t>
            </w:r>
          </w:p>
        </w:tc>
        <w:tc>
          <w:tcPr>
            <w:tcW w:w="1805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13883847833</w:t>
            </w:r>
          </w:p>
        </w:tc>
        <w:tc>
          <w:tcPr>
            <w:tcW w:w="1383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ISC-230067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余家龙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</w:tc>
        <w:tc>
          <w:tcPr>
            <w:tcW w:w="30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05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15181072354 17709081193</w:t>
            </w:r>
          </w:p>
        </w:tc>
        <w:tc>
          <w:tcPr>
            <w:tcW w:w="1383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ISC-262293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杨珍全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李永忠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13883847833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spacing w:line="36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2021年6月11日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2021年6月11日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>
            <w:pPr>
              <w:spacing w:line="360" w:lineRule="auto"/>
            </w:pP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10554" w:type="dxa"/>
        <w:tblInd w:w="-17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8"/>
        <w:gridCol w:w="1395"/>
        <w:gridCol w:w="6665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554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298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39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atLeast"/>
        </w:trPr>
        <w:tc>
          <w:tcPr>
            <w:tcW w:w="1298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2021.06.12</w:t>
            </w:r>
          </w:p>
        </w:tc>
        <w:tc>
          <w:tcPr>
            <w:tcW w:w="139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13</w:t>
            </w:r>
            <w:r>
              <w:rPr>
                <w:rFonts w:hint="eastAsia"/>
                <w:b/>
                <w:sz w:val="20"/>
              </w:rPr>
              <w:t>：00-</w:t>
            </w:r>
            <w:r>
              <w:rPr>
                <w:rFonts w:hint="eastAsia"/>
                <w:b/>
                <w:sz w:val="20"/>
                <w:lang w:val="en-US" w:eastAsia="zh-CN"/>
              </w:rPr>
              <w:t>13</w:t>
            </w:r>
            <w:r>
              <w:rPr>
                <w:rFonts w:hint="eastAsia"/>
                <w:b/>
                <w:sz w:val="20"/>
              </w:rPr>
              <w:t>:30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杨珍全、余家龙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7" w:hRule="atLeast"/>
        </w:trPr>
        <w:tc>
          <w:tcPr>
            <w:tcW w:w="1298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95" w:type="dxa"/>
            <w:vMerge w:val="restart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13</w:t>
            </w:r>
            <w:r>
              <w:rPr>
                <w:rFonts w:hint="eastAsia"/>
                <w:b/>
                <w:sz w:val="20"/>
              </w:rPr>
              <w:t>：30-1</w:t>
            </w:r>
            <w:r>
              <w:rPr>
                <w:rFonts w:hint="eastAsia"/>
                <w:b/>
                <w:sz w:val="20"/>
                <w:lang w:val="en-US" w:eastAsia="zh-CN"/>
              </w:rPr>
              <w:t>6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  <w:lang w:val="en-US" w:eastAsia="zh-CN"/>
              </w:rPr>
              <w:t>3</w:t>
            </w:r>
            <w:r>
              <w:rPr>
                <w:rFonts w:hint="eastAsia"/>
                <w:b/>
                <w:sz w:val="20"/>
              </w:rPr>
              <w:t>0</w:t>
            </w:r>
          </w:p>
        </w:tc>
        <w:tc>
          <w:tcPr>
            <w:tcW w:w="6665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1.通过对受审核方的管理、设计现场巡视和观察，从总体上初步判断受审 核方的实际情况（包括实际的产品或服务类别、环境因素或危险源识别与控制、部门设置、资源状况等）与成文信息的一致性，为第二阶段审核的准备情况。 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2. 对管理体系绩效要求有重大影响的过程、活动、场所和现场运行进行观察、巡视（对EMS还涉及周边环境、相关方）及总体性评价，初步确认与成文件息的一致性。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3.评价所建立的管理体系文件与审核准则和认证要求的符合性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适宜性；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4.了解、收集、确认和核实受审核方相关信息以及相关法律法规的执行情况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（重点是法律位证明文件、经营许可资质/资格、强制性标准执行情况）；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5.了解、确认体系覆盖的活动内容和范围，删减的合理性，体系覆盖范围内有效人数、过程和场所，及其与成文信息的一致性；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6.确认方针、目标的制定与实施状况；</w:t>
            </w:r>
          </w:p>
          <w:p>
            <w:pPr>
              <w:rPr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余家龙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0" w:hRule="atLeast"/>
        </w:trPr>
        <w:tc>
          <w:tcPr>
            <w:tcW w:w="1298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95" w:type="dxa"/>
            <w:vMerge w:val="continue"/>
            <w:tcBorders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</w:p>
        </w:tc>
        <w:tc>
          <w:tcPr>
            <w:tcW w:w="6665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7.确认内审和管理评审策划情况及实施情况，确认体系运是否已运行并超过3个月，确认管理体系实施程度，能否证明已为第二阶段审核做好了准备，并确定第二阶段审核的时间和路线；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8.了解为第二阶段审核所需资源的配置情况；</w:t>
            </w:r>
          </w:p>
          <w:p>
            <w:pPr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/>
                <w:sz w:val="21"/>
                <w:szCs w:val="21"/>
              </w:rPr>
              <w:t>.了解确认受审核方的过程（包括关键过程、特殊过程）识别及控制状况。确认受审核方针对这些过程策划建立了哪些文件、记录。确认相关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的部门设置、职能划分、生产或服务过程的识与别制的合理性，及其与成文信息的一致性。确认环境因素、危险源的识别、评价和控制情况，并与受审核方共同确认对上述过程、重要环境因素、重要危险源识别的充分性、适宜性和控制的合理性，管理方案的建立情况。</w:t>
            </w:r>
          </w:p>
          <w:p>
            <w:pPr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.适用法律法规、技术标准识别的充分性，收集合规性的证据。</w:t>
            </w:r>
          </w:p>
          <w:p>
            <w:pPr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.</w:t>
            </w:r>
            <w:r>
              <w:rPr>
                <w:color w:val="000000" w:themeColor="text1"/>
                <w:sz w:val="21"/>
                <w:szCs w:val="21"/>
              </w:rPr>
              <w:t>对生产设备、环保设备、特种设备及监视测量设备的现场巡视了解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和确认。</w:t>
            </w:r>
          </w:p>
          <w:p>
            <w:pPr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.</w:t>
            </w:r>
            <w:r>
              <w:rPr>
                <w:color w:val="000000" w:themeColor="text1"/>
                <w:sz w:val="21"/>
                <w:szCs w:val="21"/>
              </w:rPr>
              <w:t>了解对合规性及应急预案等情况的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执行</w:t>
            </w:r>
            <w:r>
              <w:rPr>
                <w:color w:val="000000" w:themeColor="text1"/>
                <w:sz w:val="21"/>
                <w:szCs w:val="21"/>
              </w:rPr>
              <w:t>。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杨珍全</w:t>
            </w:r>
            <w:bookmarkStart w:id="14" w:name="_GoBack"/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1298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9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</w:t>
            </w:r>
            <w:r>
              <w:rPr>
                <w:rFonts w:hint="eastAsia"/>
                <w:b/>
                <w:sz w:val="20"/>
                <w:lang w:val="en-US" w:eastAsia="zh-CN"/>
              </w:rPr>
              <w:t>6</w:t>
            </w:r>
            <w:r>
              <w:rPr>
                <w:rFonts w:hint="eastAsia"/>
                <w:b/>
                <w:sz w:val="20"/>
              </w:rPr>
              <w:t>：30-1</w:t>
            </w:r>
            <w:r>
              <w:rPr>
                <w:rFonts w:hint="eastAsia"/>
                <w:b/>
                <w:sz w:val="20"/>
                <w:lang w:val="en-US" w:eastAsia="zh-CN"/>
              </w:rPr>
              <w:t>7</w:t>
            </w:r>
            <w:r>
              <w:rPr>
                <w:rFonts w:hint="eastAsia"/>
                <w:b/>
                <w:sz w:val="20"/>
              </w:rPr>
              <w:t>：00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杨珍全、余家龙</w:t>
            </w: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注:</w:t>
      </w:r>
      <w:r>
        <w:rPr>
          <w:rFonts w:hint="eastAsia"/>
          <w:sz w:val="21"/>
          <w:szCs w:val="21"/>
        </w:rPr>
        <w:t>1、</w:t>
      </w:r>
      <w:r>
        <w:rPr>
          <w:rFonts w:hint="eastAsia"/>
          <w:b/>
          <w:sz w:val="21"/>
          <w:szCs w:val="21"/>
        </w:rPr>
        <w:t>一阶段要在现场核实以下内容并填写“申请评审信息（初审/再认证）现场确认表”：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1）营业执照或相关证件副本原件；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2）生产（安全）许可证、行业许可证、3C证书原件；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4）型式试验报告；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5）地理位置图、污水管网图； 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6）生产工艺流程示意图（建设单位还需提供在建项目清单）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7）环境影响评价报告及批复、“三同时”验收报告；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8）安全、卫生评价报告及批复、“三同时”验收报告；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9）消防验收报告；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10）由法定资格的环境监测部门对各项污染物的监测数据；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11）由法定资格的劳动、卫生监测部门对组织特种设备、生产车间内有害物质的监测数据；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12）排污许可证、排污申报登记注册注明、总量控制指标；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13）主要资源、能源使用、消耗清单、危险化学品清单。</w:t>
      </w:r>
    </w:p>
    <w:p>
      <w:pPr>
        <w:snapToGrid w:val="0"/>
        <w:spacing w:line="360" w:lineRule="auto"/>
        <w:ind w:left="843" w:hanging="843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2、请在选中的“□”内打“×”。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3、如工作语言、审核报告语言不是中文，应在审核计划中说明语言种类；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4、主要审核内容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方针的制定与贯彻情况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环境因素的识别和评价程序合理性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危险源的辨识和评价程序合理性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体系覆盖产品及产品生产关键过程、特殊过程的识别和确认情况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质量管理体系删减条款的合理性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适用的法律和其他要求的获取、识别程序实施情况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组织的目标、指标和管理方案合理性及实施情况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组织法律法规的遵循情况 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内审和管理评审的实施情况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管理体系文件审核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识别二阶段审核的资源配置情况</w:t>
      </w:r>
    </w:p>
    <w:p>
      <w:pPr>
        <w:spacing w:line="360" w:lineRule="auto"/>
        <w:ind w:firstLine="422" w:firstLineChars="200"/>
        <w:jc w:val="left"/>
      </w:pPr>
      <w:r>
        <w:rPr>
          <w:rFonts w:hint="eastAsia"/>
          <w:b/>
          <w:sz w:val="21"/>
          <w:szCs w:val="21"/>
        </w:rPr>
        <w:t>4、审核报告仅发放至审核委托方及本公司。</w:t>
      </w: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30.5pt;margin-top:2.2pt;height:20.2pt;width:155.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  <w:tabs>
        <w:tab w:val="left" w:pos="4155"/>
        <w:tab w:val="clear" w:pos="4153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1B91558"/>
    <w:multiLevelType w:val="multilevel"/>
    <w:tmpl w:val="11B91558"/>
    <w:lvl w:ilvl="0" w:tentative="0">
      <w:start w:val="1"/>
      <w:numFmt w:val="decimal"/>
      <w:lvlText w:val="%1)"/>
      <w:lvlJc w:val="left"/>
      <w:pPr>
        <w:ind w:left="852" w:hanging="420"/>
      </w:pPr>
    </w:lvl>
    <w:lvl w:ilvl="1" w:tentative="0">
      <w:start w:val="1"/>
      <w:numFmt w:val="lowerLetter"/>
      <w:lvlText w:val="%2)"/>
      <w:lvlJc w:val="left"/>
      <w:pPr>
        <w:ind w:left="1272" w:hanging="420"/>
      </w:pPr>
    </w:lvl>
    <w:lvl w:ilvl="2" w:tentative="0">
      <w:start w:val="1"/>
      <w:numFmt w:val="lowerRoman"/>
      <w:lvlText w:val="%3."/>
      <w:lvlJc w:val="right"/>
      <w:pPr>
        <w:ind w:left="1692" w:hanging="420"/>
      </w:pPr>
    </w:lvl>
    <w:lvl w:ilvl="3" w:tentative="0">
      <w:start w:val="1"/>
      <w:numFmt w:val="decimal"/>
      <w:lvlText w:val="%4."/>
      <w:lvlJc w:val="left"/>
      <w:pPr>
        <w:ind w:left="2112" w:hanging="420"/>
      </w:pPr>
    </w:lvl>
    <w:lvl w:ilvl="4" w:tentative="0">
      <w:start w:val="1"/>
      <w:numFmt w:val="lowerLetter"/>
      <w:lvlText w:val="%5)"/>
      <w:lvlJc w:val="left"/>
      <w:pPr>
        <w:ind w:left="2532" w:hanging="420"/>
      </w:pPr>
    </w:lvl>
    <w:lvl w:ilvl="5" w:tentative="0">
      <w:start w:val="1"/>
      <w:numFmt w:val="lowerRoman"/>
      <w:lvlText w:val="%6."/>
      <w:lvlJc w:val="right"/>
      <w:pPr>
        <w:ind w:left="2952" w:hanging="420"/>
      </w:pPr>
    </w:lvl>
    <w:lvl w:ilvl="6" w:tentative="0">
      <w:start w:val="1"/>
      <w:numFmt w:val="decimal"/>
      <w:lvlText w:val="%7."/>
      <w:lvlJc w:val="left"/>
      <w:pPr>
        <w:ind w:left="3372" w:hanging="420"/>
      </w:pPr>
    </w:lvl>
    <w:lvl w:ilvl="7" w:tentative="0">
      <w:start w:val="1"/>
      <w:numFmt w:val="lowerLetter"/>
      <w:lvlText w:val="%8)"/>
      <w:lvlJc w:val="left"/>
      <w:pPr>
        <w:ind w:left="3792" w:hanging="420"/>
      </w:pPr>
    </w:lvl>
    <w:lvl w:ilvl="8" w:tentative="0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9E77507"/>
    <w:rsid w:val="36CF401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0</TotalTime>
  <ScaleCrop>false</ScaleCrop>
  <LinksUpToDate>false</LinksUpToDate>
  <CharactersWithSpaces>1267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way一直都在</cp:lastModifiedBy>
  <cp:lastPrinted>2019-03-27T03:10:00Z</cp:lastPrinted>
  <dcterms:modified xsi:type="dcterms:W3CDTF">2021-06-18T03:01:26Z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A6FF2B955A854A07BF9E35FE2D5F5529</vt:lpwstr>
  </property>
</Properties>
</file>