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709"/>
        <w:gridCol w:w="70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江西港滋源餐饮管理有限公司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0577-2021-QE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钟华建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18779053191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907257312@qq.com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953" w:type="dxa"/>
            <w:gridSpan w:val="8"/>
            <w:vAlign w:val="center"/>
          </w:tcPr>
          <w:p>
            <w:bookmarkStart w:id="10" w:name="审核范围"/>
            <w:r>
              <w:t>Q：餐饮服务</w:t>
            </w:r>
          </w:p>
          <w:p>
            <w:r>
              <w:t>E：餐饮服务所涉及场所的相关环境管理活动</w:t>
            </w:r>
            <w:bookmarkEnd w:id="10"/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bookmarkStart w:id="11" w:name="专业代码"/>
            <w:r>
              <w:t>Q：30.05.00</w:t>
            </w:r>
          </w:p>
          <w:p>
            <w:r>
              <w:t>E：30.05.00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受审核方管理体系文件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适用的法律法规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2021年06月13日 下午至2021年06月13日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刘秋秋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15813724744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88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2021.6.13</w:t>
            </w:r>
          </w:p>
        </w:tc>
      </w:tr>
    </w:tbl>
    <w:p>
      <w:r>
        <w:br w:type="page"/>
      </w:r>
    </w:p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6.13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14：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0-14：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14：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0-1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审核高层、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行政部、物流部、业务部、品保部、财务部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了解受审核方基本概况，资质及部门设置、主管部门；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确定认证范围和经营场所；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理解相关方的需求和期望；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了解公司方针和目标及措施策划；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了解受审核方管理体系策划情况；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了解受审核方理解和实</w:t>
            </w:r>
            <w:bookmarkStart w:id="14" w:name="_GoBack"/>
            <w:bookmarkEnd w:id="14"/>
            <w:r>
              <w:rPr>
                <w:rFonts w:hint="eastAsia" w:ascii="宋体" w:hAnsi="宋体" w:eastAsia="宋体" w:cs="宋体"/>
                <w:sz w:val="21"/>
                <w:szCs w:val="21"/>
              </w:rPr>
              <w:t>施标准要求的情况，特别是对管理体系的关键绩效、过程、和运作的识别情况；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了解受审核方产品实现过程的策划和实施控制情况；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了解受审核方生产提供控制情况；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环境管理体系运行情况；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了解受审核方环境因素识别、重要环境因素和控制措施策划；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了解受审核方文件、外来文件和环境适用法律法规及其他要求控制情况；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合规性评价；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了解受审核方是否策划和实施了内部审核；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了解管理评审控制情况；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特种设备、环保设施、监测设备；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必要时检查环境评价、消防验收等情况.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验证资质；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国家/地方抽查、顾客满意、相关方投诉处理；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商定第二阶段审核时间、细节等受审核方是否策划和实施了管理。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: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0-18: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末次会议/管理层、各部门负责人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A13A4F"/>
    <w:rsid w:val="7A0B6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lenovo1018</cp:lastModifiedBy>
  <cp:lastPrinted>2019-03-27T03:10:00Z</cp:lastPrinted>
  <dcterms:modified xsi:type="dcterms:W3CDTF">2021-06-15T01:43:34Z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