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现代实验仪器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明建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3日 下午至2021年10月1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