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自动排液装置水压密封试验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±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0.105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0.07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MP</w:t>
            </w:r>
            <w:r>
              <w:rPr>
                <w:rFonts w:hint="eastAsia" w:ascii="Times New Roman" w:hAnsi="Times New Roman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0.5%FS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±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0.064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MPa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DQ</w:t>
            </w:r>
            <w:r>
              <w:rPr>
                <w:rFonts w:hint="eastAsia"/>
                <w:lang w:val="en-US" w:eastAsia="zh-CN"/>
              </w:rPr>
              <w:t>CH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eastAsia="zh-CN"/>
              </w:rPr>
              <w:t>自动排液装置水压密封试验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李晓达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自动排液装置水压密封试验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自动排液装置水压密封试验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自动排液装置水压密封试验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35305" cy="252730"/>
            <wp:effectExtent l="0" t="0" r="10795" b="127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3420" cy="258445"/>
            <wp:effectExtent l="0" t="0" r="5080" b="8255"/>
            <wp:docPr id="87" name="图片 87" descr="b7fd76251a7421a71443c07e59c7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b7fd76251a7421a71443c07e59c73cb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5003" t="44392" r="51848" b="51932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4F1596"/>
    <w:rsid w:val="6041539A"/>
    <w:rsid w:val="62295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2021-06-16T22:23:31Z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0B59332057384CB0A491A6856C0B239F</vt:lpwstr>
  </property>
</Properties>
</file>