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0591-2021-QEO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河北隆康消防安全技术有限公司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Longkang Fire Safety Technology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注册地址(中文)：</w:t>
      </w:r>
      <w:bookmarkStart w:id="3" w:name="注册地址"/>
      <w:r>
        <w:rPr>
          <w:rFonts w:hint="eastAsia"/>
          <w:b w:val="0"/>
          <w:bCs/>
          <w:color w:val="000000" w:themeColor="text1"/>
          <w:sz w:val="22"/>
          <w:szCs w:val="22"/>
        </w:rPr>
        <w:t>石家庄高新区黄河大道与天山大街交口北行50米路东院内北排1号</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(英文)：No.1, beipai, east courtyard, 50m northbound, intersection of Huanghe Avenue and Tianshan Avenue, Shijiazhuang high tech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经营地址(中文)：</w:t>
      </w:r>
      <w:bookmarkStart w:id="5" w:name="生产地址"/>
      <w:r>
        <w:rPr>
          <w:rFonts w:hint="eastAsia"/>
          <w:b w:val="0"/>
          <w:bCs/>
          <w:color w:val="000000" w:themeColor="text1"/>
          <w:sz w:val="22"/>
          <w:szCs w:val="22"/>
        </w:rPr>
        <w:t>石家庄高新区黄河大道与天山大街交口北行50米路东院内北排1号</w:t>
      </w:r>
      <w:bookmarkEnd w:id="5"/>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(英文)：No.1, beipai, east courtyard, 50m northbound, intersection of Huanghe Avenue and Tianshan Avenue, Shijiazhuang high tech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91130104MA09MCJF12</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18803110119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冯永平</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冯永平</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Q：消防设施维护保养检测、消防安全评估、消防器材的销售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E：消防设施维护保养检测、消防安全评估、消防器材的销售所涉及场所的相关环境管理活动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O：消防设施维护保养检测、消防安全评估、消防器材的销售所涉及场所的相关职业健康安全管理活动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QMS（英文）：Maintenance and inspection of fire fighting facilities, fire safety assessment and sales of fire equipment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EMS（英文）：Relevant environmental management activities of places involved in</w:t>
      </w:r>
      <w:r>
        <w:rPr>
          <w:rFonts w:hint="eastAsia"/>
          <w:b w:val="0"/>
          <w:bCs/>
          <w:color w:val="000000" w:themeColor="text1"/>
          <w:sz w:val="22"/>
          <w:szCs w:val="22"/>
          <w:lang w:val="en-US" w:eastAsia="zh-CN"/>
        </w:rPr>
        <w:t xml:space="preserve"> </w:t>
      </w:r>
      <w:r>
        <w:rPr>
          <w:rFonts w:hint="eastAsia"/>
          <w:b w:val="0"/>
          <w:bCs/>
          <w:color w:val="000000" w:themeColor="text1"/>
          <w:sz w:val="22"/>
          <w:szCs w:val="22"/>
        </w:rPr>
        <w:t>Maintenance and inspection of fire fighting facilities, fire safety assessment and sales of fire equipment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rPr>
        <w:t>Relevant occupational health and safety management activities in the places involved in</w:t>
      </w:r>
      <w:r>
        <w:rPr>
          <w:rFonts w:hint="eastAsia"/>
          <w:b w:val="0"/>
          <w:bCs/>
          <w:color w:val="000000" w:themeColor="text1"/>
          <w:sz w:val="22"/>
          <w:szCs w:val="22"/>
          <w:lang w:val="en-US" w:eastAsia="zh-CN"/>
        </w:rPr>
        <w:t xml:space="preserve"> </w:t>
      </w:r>
      <w:r>
        <w:rPr>
          <w:rFonts w:hint="eastAsia"/>
          <w:b w:val="0"/>
          <w:bCs/>
          <w:color w:val="000000" w:themeColor="text1"/>
          <w:sz w:val="22"/>
          <w:szCs w:val="22"/>
        </w:rPr>
        <w:t>Maintenance and inspection of fire fighting facilities, fire safety assessment and sales of fire equipment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DB19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jijie</cp:lastModifiedBy>
  <cp:lastPrinted>2019-05-13T03:13:00Z</cp:lastPrinted>
  <dcterms:modified xsi:type="dcterms:W3CDTF">2021-06-25T01:47:07Z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4732985319EE4E3E911E0BFEE3944DBB</vt:lpwstr>
  </property>
</Properties>
</file>