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河北隆康消防安全技术有限公司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152E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2021-06-24T06:32:43Z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6A4FA6A877AB4563AFBBADBF6DDADFFD</vt:lpwstr>
  </property>
</Properties>
</file>