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0539-2021-QEO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山西得中电气有限公司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11"/>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7"/>
        <w:gridCol w:w="683"/>
        <w:gridCol w:w="1274"/>
        <w:gridCol w:w="143"/>
        <w:gridCol w:w="570"/>
        <w:gridCol w:w="1840"/>
        <w:gridCol w:w="840"/>
        <w:gridCol w:w="10"/>
        <w:gridCol w:w="85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7" w:type="dxa"/>
            <w:gridSpan w:val="2"/>
            <w:vAlign w:val="center"/>
          </w:tcPr>
          <w:p>
            <w:pPr>
              <w:rPr>
                <w:b/>
                <w:color w:val="000000"/>
                <w:sz w:val="20"/>
                <w:szCs w:val="20"/>
              </w:rPr>
            </w:pPr>
            <w:r>
              <w:rPr>
                <w:rFonts w:hint="eastAsia"/>
                <w:b/>
                <w:color w:val="000000"/>
                <w:sz w:val="20"/>
                <w:szCs w:val="20"/>
              </w:rPr>
              <w:t>审核方名称</w:t>
            </w:r>
          </w:p>
        </w:tc>
        <w:tc>
          <w:tcPr>
            <w:tcW w:w="7683" w:type="dxa"/>
            <w:gridSpan w:val="9"/>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7"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2"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7"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40"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0" w:type="dxa"/>
            <w:vAlign w:val="center"/>
          </w:tcPr>
          <w:p>
            <w:pPr>
              <w:jc w:val="center"/>
              <w:rPr>
                <w:b/>
                <w:color w:val="000000"/>
                <w:sz w:val="20"/>
                <w:szCs w:val="20"/>
              </w:rPr>
            </w:pPr>
            <w:r>
              <w:rPr>
                <w:rFonts w:hint="eastAsia"/>
                <w:b/>
                <w:color w:val="000000"/>
                <w:sz w:val="20"/>
                <w:szCs w:val="20"/>
              </w:rPr>
              <w:t>姓名</w:t>
            </w:r>
          </w:p>
        </w:tc>
        <w:tc>
          <w:tcPr>
            <w:tcW w:w="850" w:type="dxa"/>
            <w:gridSpan w:val="2"/>
            <w:vAlign w:val="center"/>
          </w:tcPr>
          <w:p>
            <w:pPr>
              <w:jc w:val="center"/>
              <w:rPr>
                <w:b/>
                <w:color w:val="000000"/>
                <w:sz w:val="20"/>
                <w:szCs w:val="20"/>
              </w:rPr>
            </w:pPr>
            <w:r>
              <w:rPr>
                <w:rFonts w:hint="eastAsia"/>
                <w:b/>
                <w:color w:val="000000"/>
                <w:sz w:val="20"/>
                <w:szCs w:val="20"/>
              </w:rPr>
              <w:t>职务</w:t>
            </w:r>
          </w:p>
        </w:tc>
        <w:tc>
          <w:tcPr>
            <w:tcW w:w="1417" w:type="dxa"/>
            <w:gridSpan w:val="2"/>
            <w:vAlign w:val="center"/>
          </w:tcPr>
          <w:p>
            <w:pPr>
              <w:jc w:val="center"/>
              <w:rPr>
                <w:b/>
                <w:color w:val="000000"/>
                <w:sz w:val="20"/>
                <w:szCs w:val="20"/>
              </w:rPr>
            </w:pPr>
            <w:r>
              <w:rPr>
                <w:rFonts w:hint="eastAsia"/>
                <w:b/>
                <w:color w:val="000000"/>
                <w:sz w:val="20"/>
                <w:szCs w:val="20"/>
              </w:rPr>
              <w:t>性别</w:t>
            </w:r>
          </w:p>
        </w:tc>
        <w:tc>
          <w:tcPr>
            <w:tcW w:w="2410" w:type="dxa"/>
            <w:gridSpan w:val="2"/>
            <w:vAlign w:val="center"/>
          </w:tcPr>
          <w:p>
            <w:pPr>
              <w:jc w:val="center"/>
              <w:rPr>
                <w:b/>
                <w:color w:val="000000"/>
                <w:sz w:val="20"/>
                <w:szCs w:val="20"/>
              </w:rPr>
            </w:pPr>
            <w:r>
              <w:rPr>
                <w:rFonts w:hint="eastAsia"/>
                <w:b/>
                <w:color w:val="000000"/>
                <w:sz w:val="20"/>
                <w:szCs w:val="20"/>
              </w:rPr>
              <w:t>审核员注册号</w:t>
            </w:r>
          </w:p>
        </w:tc>
        <w:tc>
          <w:tcPr>
            <w:tcW w:w="3173"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0"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李京田</w:t>
            </w:r>
          </w:p>
        </w:tc>
        <w:tc>
          <w:tcPr>
            <w:tcW w:w="850"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3173" w:type="dxa"/>
            <w:gridSpan w:val="4"/>
            <w:vAlign w:val="center"/>
          </w:tcPr>
          <w:p>
            <w:pPr>
              <w:spacing w:line="240" w:lineRule="exact"/>
              <w:jc w:val="center"/>
              <w:rPr>
                <w:b/>
                <w:color w:val="000000"/>
                <w:sz w:val="20"/>
                <w:szCs w:val="20"/>
              </w:rPr>
            </w:pPr>
            <w:r>
              <w:rPr>
                <w:b/>
                <w:color w:val="000000"/>
                <w:sz w:val="20"/>
                <w:szCs w:val="20"/>
              </w:rPr>
              <w:t>Q:29.10.07,34.05.00</w:t>
            </w:r>
          </w:p>
          <w:p>
            <w:pPr>
              <w:spacing w:line="240" w:lineRule="exact"/>
              <w:jc w:val="center"/>
              <w:rPr>
                <w:b/>
                <w:color w:val="000000"/>
                <w:sz w:val="20"/>
                <w:szCs w:val="20"/>
              </w:rPr>
            </w:pPr>
            <w:r>
              <w:rPr>
                <w:b/>
                <w:color w:val="000000"/>
                <w:sz w:val="20"/>
                <w:szCs w:val="20"/>
              </w:rPr>
              <w:t>E:29.10.07,34.05.00</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0"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温红玲</w:t>
            </w:r>
          </w:p>
        </w:tc>
        <w:tc>
          <w:tcPr>
            <w:tcW w:w="850"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E:审核员</w:t>
            </w:r>
          </w:p>
        </w:tc>
        <w:tc>
          <w:tcPr>
            <w:tcW w:w="3173" w:type="dxa"/>
            <w:gridSpan w:val="4"/>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0" w:type="dxa"/>
            <w:vAlign w:val="center"/>
          </w:tcPr>
          <w:p>
            <w:pPr>
              <w:spacing w:line="240" w:lineRule="exact"/>
              <w:jc w:val="center"/>
              <w:rPr>
                <w:b/>
                <w:color w:val="000000"/>
                <w:sz w:val="20"/>
                <w:szCs w:val="20"/>
              </w:rPr>
            </w:pPr>
          </w:p>
        </w:tc>
        <w:tc>
          <w:tcPr>
            <w:tcW w:w="850" w:type="dxa"/>
            <w:gridSpan w:val="2"/>
            <w:vAlign w:val="center"/>
          </w:tcPr>
          <w:p>
            <w:pPr>
              <w:spacing w:line="240" w:lineRule="exact"/>
              <w:jc w:val="center"/>
              <w:rPr>
                <w:b/>
                <w:color w:val="000000"/>
                <w:sz w:val="20"/>
                <w:szCs w:val="20"/>
              </w:rPr>
            </w:pPr>
          </w:p>
        </w:tc>
        <w:tc>
          <w:tcPr>
            <w:tcW w:w="1417" w:type="dxa"/>
            <w:gridSpan w:val="2"/>
            <w:vAlign w:val="center"/>
          </w:tcPr>
          <w:p>
            <w:pPr>
              <w:spacing w:line="240" w:lineRule="exact"/>
              <w:jc w:val="center"/>
              <w:rPr>
                <w:b/>
                <w:color w:val="000000"/>
                <w:sz w:val="20"/>
                <w:szCs w:val="20"/>
              </w:rPr>
            </w:pPr>
          </w:p>
        </w:tc>
        <w:tc>
          <w:tcPr>
            <w:tcW w:w="2410" w:type="dxa"/>
            <w:gridSpan w:val="2"/>
            <w:vAlign w:val="center"/>
          </w:tcPr>
          <w:p>
            <w:pPr>
              <w:spacing w:line="240" w:lineRule="exact"/>
              <w:jc w:val="center"/>
              <w:rPr>
                <w:b/>
                <w:color w:val="000000"/>
                <w:sz w:val="20"/>
                <w:szCs w:val="20"/>
              </w:rPr>
            </w:pPr>
          </w:p>
        </w:tc>
        <w:tc>
          <w:tcPr>
            <w:tcW w:w="3173"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0" w:type="dxa"/>
            <w:vAlign w:val="center"/>
          </w:tcPr>
          <w:p>
            <w:pPr>
              <w:rPr>
                <w:b/>
                <w:color w:val="000000"/>
                <w:sz w:val="20"/>
                <w:szCs w:val="20"/>
              </w:rPr>
            </w:pPr>
            <w:r>
              <w:rPr>
                <w:rFonts w:hint="eastAsia"/>
                <w:b/>
                <w:color w:val="000000"/>
                <w:sz w:val="20"/>
                <w:szCs w:val="20"/>
              </w:rPr>
              <w:t>姓名</w:t>
            </w:r>
          </w:p>
        </w:tc>
        <w:tc>
          <w:tcPr>
            <w:tcW w:w="850"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410" w:type="dxa"/>
            <w:gridSpan w:val="2"/>
            <w:vAlign w:val="center"/>
          </w:tcPr>
          <w:p>
            <w:pPr>
              <w:rPr>
                <w:b/>
                <w:color w:val="000000"/>
                <w:sz w:val="20"/>
                <w:szCs w:val="20"/>
              </w:rPr>
            </w:pPr>
            <w:r>
              <w:rPr>
                <w:rFonts w:hint="eastAsia"/>
                <w:b/>
                <w:color w:val="000000"/>
                <w:sz w:val="20"/>
                <w:szCs w:val="20"/>
              </w:rPr>
              <w:t>工作单位</w:t>
            </w:r>
          </w:p>
        </w:tc>
        <w:tc>
          <w:tcPr>
            <w:tcW w:w="317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0" w:type="dxa"/>
            <w:vAlign w:val="center"/>
          </w:tcPr>
          <w:p>
            <w:pPr>
              <w:rPr>
                <w:b/>
                <w:color w:val="000000"/>
              </w:rPr>
            </w:pPr>
          </w:p>
        </w:tc>
        <w:tc>
          <w:tcPr>
            <w:tcW w:w="850"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3"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0" w:type="dxa"/>
            <w:vAlign w:val="center"/>
          </w:tcPr>
          <w:p>
            <w:pPr>
              <w:rPr>
                <w:b/>
                <w:color w:val="000000"/>
              </w:rPr>
            </w:pPr>
          </w:p>
        </w:tc>
        <w:tc>
          <w:tcPr>
            <w:tcW w:w="850"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3"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lang w:val="en-US" w:eastAsia="zh-CN"/>
        </w:rPr>
        <w:t>A</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11"/>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山西得中电气有限公司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山西综改示范区太原学府园区电商街8号合创办公楼301室</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山西省太原市万柏林区龙头公寓西侧五层</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王荣刚</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18135144190</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张峰彬</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王荣刚</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tyqhfengbin.zhang@163.com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t>20</w:t>
            </w:r>
            <w:r>
              <w:rPr>
                <w:rFonts w:hint="eastAsia"/>
                <w:lang w:val="en-US" w:eastAsia="zh-CN"/>
              </w:rPr>
              <w:t>20</w:t>
            </w:r>
            <w:r>
              <w:t>年</w:t>
            </w:r>
            <w:r>
              <w:rPr>
                <w:rFonts w:hint="eastAsia"/>
                <w:lang w:val="en-US" w:eastAsia="zh-CN"/>
              </w:rPr>
              <w:t>10</w:t>
            </w:r>
            <w:r>
              <w:t>月</w:t>
            </w:r>
            <w:r>
              <w:rPr>
                <w:rFonts w:hint="eastAsia"/>
                <w:lang w:val="en-US" w:eastAsia="zh-CN"/>
              </w:rPr>
              <w:t>10</w:t>
            </w:r>
            <w:r>
              <w:t>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Q：高低压成套设备、自动化控制设备的设计、销售</w:t>
            </w:r>
          </w:p>
          <w:p>
            <w:pPr>
              <w:spacing w:line="400" w:lineRule="exact"/>
              <w:rPr>
                <w:rFonts w:ascii="宋体" w:hAnsi="宋体"/>
                <w:b/>
                <w:color w:val="000000"/>
                <w:sz w:val="20"/>
                <w:szCs w:val="20"/>
              </w:rPr>
            </w:pPr>
            <w:r>
              <w:rPr>
                <w:rFonts w:ascii="宋体" w:hAnsi="宋体"/>
                <w:b/>
                <w:color w:val="000000"/>
                <w:sz w:val="20"/>
                <w:szCs w:val="20"/>
              </w:rPr>
              <w:t>E：高低压成套设备、自动化控制设备的设计、销售所涉及场所的相关环境管理活动</w:t>
            </w:r>
          </w:p>
          <w:p>
            <w:pPr>
              <w:spacing w:line="400" w:lineRule="exact"/>
            </w:pPr>
            <w:r>
              <w:rPr>
                <w:rFonts w:ascii="宋体" w:hAnsi="宋体"/>
                <w:b/>
                <w:color w:val="000000"/>
                <w:sz w:val="20"/>
                <w:szCs w:val="20"/>
              </w:rPr>
              <w:t>O：高低压成套设备、自动化控制设备的设计、销售所涉及场所的相关职业健康安全管理活动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Q：29.10.07;34.05.00</w:t>
            </w:r>
          </w:p>
          <w:p>
            <w:pPr>
              <w:spacing w:line="280" w:lineRule="exact"/>
              <w:rPr>
                <w:rFonts w:ascii="宋体"/>
                <w:b/>
                <w:color w:val="000000"/>
                <w:sz w:val="20"/>
                <w:szCs w:val="20"/>
              </w:rPr>
            </w:pPr>
            <w:r>
              <w:rPr>
                <w:rFonts w:ascii="宋体"/>
                <w:b/>
                <w:color w:val="000000"/>
                <w:sz w:val="20"/>
                <w:szCs w:val="20"/>
              </w:rPr>
              <w:t>E：29.10.07;34.05.00</w:t>
            </w:r>
          </w:p>
          <w:p>
            <w:pPr>
              <w:spacing w:line="280" w:lineRule="exact"/>
              <w:rPr>
                <w:rFonts w:ascii="宋体"/>
                <w:b/>
                <w:color w:val="000000"/>
                <w:sz w:val="20"/>
                <w:szCs w:val="20"/>
              </w:rPr>
            </w:pPr>
            <w:r>
              <w:rPr>
                <w:rFonts w:ascii="宋体"/>
                <w:b/>
                <w:color w:val="000000"/>
                <w:sz w:val="20"/>
                <w:szCs w:val="20"/>
              </w:rPr>
              <w:t>O：29.10.07;34.05.00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rPr>
          <w:rFonts w:hint="default" w:eastAsia="宋体"/>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rPr>
        <w:t>行政人事部  市场营销部  技术部 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ascii="宋体" w:hAnsi="宋体"/>
          <w:b/>
          <w:color w:val="FF0000"/>
          <w:sz w:val="20"/>
          <w:szCs w:val="20"/>
          <w:u w:val="single"/>
        </w:rPr>
        <w:t xml:space="preserve"> </w:t>
      </w:r>
      <w:r>
        <w:rPr>
          <w:rFonts w:hint="eastAsia" w:ascii="宋体" w:hAnsi="宋体"/>
          <w:b/>
          <w:color w:val="000000" w:themeColor="text1"/>
          <w:sz w:val="20"/>
          <w:szCs w:val="20"/>
          <w:u w:val="single"/>
          <w:lang w:val="en-US" w:eastAsia="zh-CN"/>
        </w:rPr>
        <w:t>设计场所、办公场所</w:t>
      </w:r>
      <w:r>
        <w:rPr>
          <w:rFonts w:hint="eastAsia" w:ascii="宋体" w:hAnsi="宋体"/>
          <w:b/>
          <w:color w:val="000000" w:themeColor="text1"/>
          <w:sz w:val="20"/>
          <w:szCs w:val="20"/>
          <w:u w:val="single"/>
        </w:rPr>
        <w:t xml:space="preserve"> </w:t>
      </w:r>
      <w:r>
        <w:rPr>
          <w:rFonts w:hint="eastAsia" w:ascii="宋体" w:hAnsi="宋体"/>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1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9"/>
        <w:pBdr>
          <w:bottom w:val="none" w:color="auto" w:sz="0" w:space="0"/>
        </w:pBdr>
        <w:ind w:right="600"/>
        <w:jc w:val="both"/>
        <w:rPr>
          <w:color w:val="000000"/>
          <w:sz w:val="32"/>
          <w:szCs w:val="32"/>
        </w:rPr>
      </w:pPr>
    </w:p>
    <w:p>
      <w:pPr>
        <w:pStyle w:val="9"/>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1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高低压成套设备、自动化控制设备的设计、销售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color w:val="000000"/>
                <w:sz w:val="20"/>
                <w:szCs w:val="20"/>
                <w:lang w:val="en-US" w:eastAsia="zh-CN"/>
              </w:rPr>
              <w:t>销售</w:t>
            </w:r>
            <w:r>
              <w:rPr>
                <w:rFonts w:hint="eastAsia" w:ascii="宋体" w:hAnsi="宋体"/>
                <w:b/>
                <w:color w:val="000000"/>
                <w:sz w:val="20"/>
                <w:szCs w:val="20"/>
              </w:rPr>
              <w:t>服务、</w:t>
            </w:r>
            <w:r>
              <w:rPr>
                <w:rFonts w:hint="eastAsia" w:ascii="宋体" w:hAnsi="宋体"/>
                <w:b/>
                <w:color w:val="000000"/>
                <w:sz w:val="20"/>
                <w:szCs w:val="20"/>
                <w:lang w:val="en-US" w:eastAsia="zh-CN"/>
              </w:rPr>
              <w:t>设计开发</w:t>
            </w: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hAnsi="宋体"/>
                <w:b/>
                <w:color w:val="000000"/>
                <w:sz w:val="20"/>
                <w:szCs w:val="20"/>
                <w:u w:val="single"/>
              </w:rPr>
            </w:pPr>
            <w:r>
              <w:rPr>
                <w:rFonts w:hint="eastAsia" w:ascii="宋体" w:hAnsi="宋体"/>
                <w:b/>
                <w:color w:val="000000"/>
                <w:sz w:val="20"/>
                <w:szCs w:val="20"/>
              </w:rPr>
              <w:t>公司部门设置：</w:t>
            </w:r>
            <w:r>
              <w:rPr>
                <w:rFonts w:hint="eastAsia"/>
                <w:lang w:eastAsia="zh-CN"/>
              </w:rPr>
              <w:t>综合部</w:t>
            </w:r>
            <w:r>
              <w:rPr>
                <w:rFonts w:hint="eastAsia"/>
              </w:rPr>
              <w:t xml:space="preserve">  </w:t>
            </w:r>
            <w:r>
              <w:rPr>
                <w:rFonts w:hint="eastAsia"/>
                <w:lang w:eastAsia="zh-CN"/>
              </w:rPr>
              <w:t>生产部</w:t>
            </w:r>
            <w:r>
              <w:rPr>
                <w:rFonts w:hint="eastAsia"/>
              </w:rPr>
              <w:t xml:space="preserve">  </w:t>
            </w:r>
            <w:r>
              <w:rPr>
                <w:rFonts w:hint="eastAsia"/>
                <w:lang w:eastAsia="zh-CN"/>
              </w:rPr>
              <w:t>销售部</w:t>
            </w:r>
            <w:r>
              <w:rPr>
                <w:rFonts w:hint="eastAsia"/>
              </w:rPr>
              <w:t xml:space="preserve">  </w:t>
            </w:r>
            <w:r>
              <w:rPr>
                <w:rFonts w:hint="eastAsia"/>
                <w:lang w:eastAsia="zh-CN"/>
              </w:rPr>
              <w:t>技术部</w:t>
            </w:r>
            <w:r>
              <w:rPr>
                <w:rFonts w:hint="eastAsia"/>
              </w:rPr>
              <w:t xml:space="preserve">  </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rPr>
              <w:t>行政人事部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rPr>
              <w:t>行政人事部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rPr>
              <w:t>行政人事部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rPr>
              <w:t>行政人事部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rPr>
                <w:color w:val="000000"/>
                <w:szCs w:val="21"/>
              </w:rPr>
              <w:t>山西得中电气有限公司</w:t>
            </w:r>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sym w:font="Wingdings" w:char="00A8"/>
            </w:r>
            <w:r>
              <w:rPr>
                <w:rFonts w:hint="eastAsia" w:ascii="宋体" w:hAnsi="宋体"/>
                <w:sz w:val="20"/>
                <w:szCs w:val="20"/>
              </w:rPr>
              <w:t>自购厂房</w:t>
            </w:r>
            <w:r>
              <w:rPr>
                <w:rFonts w:ascii="宋体" w:hAnsi="宋体"/>
                <w:sz w:val="20"/>
                <w:szCs w:val="20"/>
              </w:rPr>
              <w:t xml:space="preserve">   </w:t>
            </w:r>
            <w:r>
              <w:rPr>
                <w:rFonts w:hint="eastAsia" w:ascii="宋体" w:hAnsi="宋体" w:eastAsia="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1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14"/>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14"/>
              <w:rPr>
                <w:color w:val="auto"/>
              </w:rPr>
            </w:pPr>
            <w:r>
              <w:rPr>
                <w:rFonts w:hint="eastAsia"/>
                <w:color w:val="auto"/>
              </w:rPr>
              <w:t>产品执行规范：</w:t>
            </w:r>
          </w:p>
          <w:p>
            <w:pPr>
              <w:rPr>
                <w:rFonts w:ascii="宋体" w:hAnsi="宋体"/>
                <w:color w:val="auto"/>
                <w:spacing w:val="-10"/>
                <w:sz w:val="20"/>
                <w:szCs w:val="20"/>
              </w:rPr>
            </w:pPr>
            <w:r>
              <w:rPr>
                <w:rFonts w:hint="eastAsia" w:ascii="宋体" w:hAnsi="宋体"/>
                <w:color w:val="auto"/>
                <w:spacing w:val="-10"/>
                <w:sz w:val="20"/>
                <w:szCs w:val="20"/>
              </w:rPr>
              <w:t>智能变电站智能控制柜技术规范DL/T 1881-2018</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2019-05-01</w:t>
            </w:r>
          </w:p>
          <w:p>
            <w:pPr>
              <w:rPr>
                <w:rFonts w:ascii="宋体" w:hAnsi="宋体"/>
                <w:color w:val="auto"/>
                <w:spacing w:val="-10"/>
                <w:sz w:val="20"/>
                <w:szCs w:val="20"/>
              </w:rPr>
            </w:pPr>
            <w:r>
              <w:rPr>
                <w:rFonts w:hint="eastAsia" w:ascii="宋体" w:hAnsi="宋体"/>
                <w:color w:val="auto"/>
                <w:spacing w:val="-10"/>
                <w:sz w:val="20"/>
                <w:szCs w:val="20"/>
              </w:rPr>
              <w:t>低压成套开关设备和控制设备</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2015-01-13</w:t>
            </w:r>
          </w:p>
          <w:p>
            <w:pPr>
              <w:rPr>
                <w:rFonts w:ascii="宋体" w:hAnsi="宋体"/>
                <w:color w:val="auto"/>
                <w:spacing w:val="-10"/>
                <w:sz w:val="20"/>
                <w:szCs w:val="20"/>
              </w:rPr>
            </w:pPr>
            <w:r>
              <w:rPr>
                <w:rFonts w:hint="eastAsia" w:ascii="宋体" w:hAnsi="宋体"/>
                <w:color w:val="auto"/>
                <w:spacing w:val="-10"/>
                <w:sz w:val="20"/>
                <w:szCs w:val="20"/>
              </w:rPr>
              <w:t>外壳防护等级</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2009-01-01</w:t>
            </w:r>
          </w:p>
          <w:p>
            <w:pPr>
              <w:rPr>
                <w:rFonts w:ascii="宋体" w:hAnsi="宋体"/>
                <w:color w:val="auto"/>
                <w:spacing w:val="-10"/>
                <w:sz w:val="20"/>
                <w:szCs w:val="20"/>
              </w:rPr>
            </w:pPr>
            <w:r>
              <w:rPr>
                <w:rFonts w:hint="eastAsia" w:ascii="宋体" w:hAnsi="宋体"/>
                <w:color w:val="auto"/>
                <w:spacing w:val="-10"/>
                <w:sz w:val="20"/>
                <w:szCs w:val="20"/>
              </w:rPr>
              <w:t>低压电器低压成套开关设备</w:t>
            </w:r>
            <w:r>
              <w:rPr>
                <w:rFonts w:hint="eastAsia" w:ascii="宋体" w:hAnsi="宋体"/>
                <w:color w:val="auto"/>
                <w:spacing w:val="-10"/>
                <w:sz w:val="20"/>
                <w:szCs w:val="20"/>
              </w:rPr>
              <w:tab/>
            </w:r>
            <w:r>
              <w:rPr>
                <w:rFonts w:hint="eastAsia" w:ascii="宋体" w:hAnsi="宋体"/>
                <w:color w:val="auto"/>
                <w:spacing w:val="-10"/>
                <w:sz w:val="20"/>
                <w:szCs w:val="20"/>
              </w:rPr>
              <w:t>国家质监总局</w:t>
            </w:r>
            <w:r>
              <w:rPr>
                <w:rFonts w:hint="eastAsia" w:ascii="宋体" w:hAnsi="宋体"/>
                <w:color w:val="auto"/>
                <w:spacing w:val="-10"/>
                <w:sz w:val="20"/>
                <w:szCs w:val="20"/>
              </w:rPr>
              <w:tab/>
            </w:r>
            <w:r>
              <w:rPr>
                <w:rFonts w:hint="eastAsia" w:ascii="宋体" w:hAnsi="宋体"/>
                <w:color w:val="auto"/>
                <w:spacing w:val="-10"/>
                <w:sz w:val="20"/>
                <w:szCs w:val="20"/>
              </w:rPr>
              <w:t>2014-09-01</w:t>
            </w:r>
          </w:p>
          <w:p>
            <w:pPr>
              <w:rPr>
                <w:rFonts w:hint="eastAsia" w:ascii="宋体" w:hAnsi="宋体" w:eastAsia="宋体" w:cs="Times New Roman"/>
                <w:color w:val="auto"/>
                <w:spacing w:val="-10"/>
                <w:sz w:val="20"/>
                <w:szCs w:val="20"/>
              </w:rPr>
            </w:pPr>
            <w:r>
              <w:rPr>
                <w:rFonts w:hint="eastAsia" w:ascii="宋体" w:hAnsi="宋体" w:eastAsia="宋体" w:cs="Times New Roman"/>
                <w:color w:val="auto"/>
                <w:spacing w:val="-10"/>
                <w:sz w:val="20"/>
                <w:szCs w:val="20"/>
              </w:rPr>
              <w:t>JB/T 9659.1-1999</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 xml:space="preserve"> 低压成套开关设备和控制设备用接线端子排 第1部分: 组合型和底座封闭型接线端子排</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国家机械工业局</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2000-01-01</w:t>
            </w:r>
            <w:r>
              <w:rPr>
                <w:rFonts w:hint="eastAsia" w:ascii="宋体" w:hAnsi="宋体" w:eastAsia="宋体" w:cs="Times New Roman"/>
                <w:color w:val="auto"/>
                <w:spacing w:val="-10"/>
                <w:sz w:val="20"/>
                <w:szCs w:val="20"/>
              </w:rPr>
              <w:tab/>
            </w:r>
            <w:r>
              <w:rPr>
                <w:rFonts w:hint="eastAsia" w:ascii="宋体" w:hAnsi="宋体" w:eastAsia="宋体" w:cs="Times New Roman"/>
                <w:color w:val="auto"/>
                <w:spacing w:val="-10"/>
                <w:sz w:val="20"/>
                <w:szCs w:val="20"/>
              </w:rPr>
              <w:t>现行</w:t>
            </w:r>
          </w:p>
          <w:p>
            <w:pPr>
              <w:rPr>
                <w:rFonts w:hint="eastAsia" w:ascii="宋体" w:hAnsi="宋体" w:eastAsia="宋体" w:cs="Times New Roman"/>
                <w:spacing w:val="-10"/>
                <w:sz w:val="20"/>
                <w:szCs w:val="20"/>
              </w:rPr>
            </w:pPr>
            <w:r>
              <w:rPr>
                <w:rFonts w:hint="eastAsia" w:ascii="宋体" w:hAnsi="宋体" w:eastAsia="宋体" w:cs="Times New Roman"/>
                <w:color w:val="auto"/>
                <w:spacing w:val="-10"/>
                <w:sz w:val="20"/>
                <w:szCs w:val="20"/>
              </w:rPr>
              <w:t xml:space="preserve"> JB/T 9665-2013</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 xml:space="preserve"> 低压成套开关设备和控制设备辅件产品型号编制方法</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工业和信息化部</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2014-07-01</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现行</w:t>
            </w:r>
          </w:p>
          <w:p>
            <w:pPr>
              <w:rPr>
                <w:rFonts w:hint="eastAsia" w:ascii="宋体" w:hAnsi="宋体" w:eastAsia="宋体" w:cs="Times New Roman"/>
                <w:spacing w:val="-10"/>
                <w:sz w:val="20"/>
                <w:szCs w:val="20"/>
              </w:rPr>
            </w:pPr>
            <w:r>
              <w:rPr>
                <w:rFonts w:hint="eastAsia" w:ascii="宋体" w:hAnsi="宋体" w:eastAsia="宋体" w:cs="Times New Roman"/>
                <w:spacing w:val="-10"/>
                <w:sz w:val="20"/>
                <w:szCs w:val="20"/>
              </w:rPr>
              <w:t xml:space="preserve"> DL/T 593-2016</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 xml:space="preserve"> 高压开关设备和控制设备标准的共用技术要求</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国家能源局</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2016-07-01</w:t>
            </w:r>
            <w:r>
              <w:rPr>
                <w:rFonts w:hint="eastAsia" w:ascii="宋体" w:hAnsi="宋体" w:eastAsia="宋体" w:cs="Times New Roman"/>
                <w:spacing w:val="-10"/>
                <w:sz w:val="20"/>
                <w:szCs w:val="20"/>
              </w:rPr>
              <w:tab/>
            </w:r>
            <w:r>
              <w:rPr>
                <w:rFonts w:hint="eastAsia" w:ascii="宋体" w:hAnsi="宋体" w:eastAsia="宋体" w:cs="Times New Roman"/>
                <w:spacing w:val="-10"/>
                <w:sz w:val="20"/>
                <w:szCs w:val="20"/>
              </w:rPr>
              <w:t>现行</w:t>
            </w: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1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lang w:val="en-US" w:eastAsia="zh-CN"/>
              </w:rPr>
            </w:pPr>
            <w:r>
              <w:rPr>
                <w:rFonts w:hint="eastAsia"/>
                <w:lang w:val="en-US" w:eastAsia="zh-CN"/>
              </w:rPr>
              <w:t>设计流程：合同评审-组建项目组-文件输入-项目设计-项目评审-输出-确认-验收</w:t>
            </w:r>
          </w:p>
          <w:p>
            <w:r>
              <w:rPr>
                <w:rFonts w:hint="eastAsia"/>
              </w:rPr>
              <w:t>销售</w:t>
            </w:r>
            <w:r>
              <w:rPr>
                <w:rFonts w:hint="eastAsia"/>
                <w:lang w:val="en-US" w:eastAsia="zh-CN"/>
              </w:rPr>
              <w:t>流程</w:t>
            </w:r>
            <w:r>
              <w:rPr>
                <w:rFonts w:hint="eastAsia"/>
              </w:rPr>
              <w:t>：客户接触----合同评审----签订合同-----客户付款------入帐------采购-----客户提货-----验收</w:t>
            </w:r>
          </w:p>
          <w:p>
            <w:pPr>
              <w:rPr>
                <w:rFonts w:hint="default"/>
                <w:lang w:val="en-US" w:eastAsia="zh-CN"/>
              </w:rPr>
            </w:pPr>
            <w:r>
              <w:rPr>
                <w:rFonts w:hint="eastAsia" w:ascii="宋体" w:hAnsi="宋体"/>
                <w:bCs w:val="0"/>
                <w:spacing w:val="0"/>
                <w:sz w:val="24"/>
              </w:rPr>
              <w:t>其中特殊过程为</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ascii="Times New Roman" w:hAnsi="Times New Roman" w:eastAsia="宋体" w:cs="Times New Roman"/>
                <w:bCs w:val="0"/>
                <w:color w:val="000000" w:themeColor="text1"/>
                <w:spacing w:val="0"/>
                <w:kern w:val="2"/>
                <w:sz w:val="21"/>
                <w:szCs w:val="21"/>
                <w:lang w:val="en-US" w:eastAsia="zh-CN" w:bidi="ar-SA"/>
              </w:rPr>
              <w:t xml:space="preserve"> </w:t>
            </w:r>
          </w:p>
          <w:p>
            <w:pPr>
              <w:rPr>
                <w:rFonts w:hint="eastAsia" w:eastAsia="宋体"/>
                <w:szCs w:val="22"/>
                <w:lang w:eastAsia="zh-CN"/>
              </w:rPr>
            </w:pPr>
            <w:r>
              <w:rPr>
                <w:rFonts w:hint="eastAsia" w:ascii="宋体" w:hAnsi="宋体"/>
                <w:b/>
                <w:color w:val="000000" w:themeColor="text1"/>
                <w:sz w:val="20"/>
                <w:szCs w:val="20"/>
              </w:rPr>
              <w:t xml:space="preserve">需要确认过程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Cs/>
                <w:sz w:val="24"/>
                <w:lang w:val="en-US" w:eastAsia="zh-CN"/>
              </w:rPr>
              <w:t>销售</w:t>
            </w:r>
            <w:r>
              <w:rPr>
                <w:rFonts w:hint="eastAsia" w:ascii="宋体" w:hAnsi="宋体"/>
                <w:bCs/>
                <w:sz w:val="24"/>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bCs/>
                <w:sz w:val="24"/>
                <w:lang w:val="en-US" w:eastAsia="zh-CN"/>
              </w:rPr>
              <w:t>销售</w:t>
            </w:r>
            <w:r>
              <w:rPr>
                <w:rFonts w:hint="eastAsia" w:ascii="宋体" w:hAnsi="宋体"/>
                <w:bCs/>
                <w:sz w:val="24"/>
              </w:rPr>
              <w:t>过</w:t>
            </w:r>
            <w:r>
              <w:rPr>
                <w:rFonts w:hint="eastAsia" w:ascii="宋体" w:hAnsi="宋体" w:eastAsia="宋体" w:cs="Times New Roman"/>
                <w:bCs/>
                <w:sz w:val="24"/>
              </w:rPr>
              <w:t>程</w:t>
            </w:r>
            <w:r>
              <w:rPr>
                <w:rFonts w:hint="eastAsia" w:ascii="宋体" w:hAnsi="宋体" w:cs="Times New Roman"/>
                <w:bCs/>
                <w:sz w:val="24"/>
                <w:lang w:val="en-US" w:eastAsia="zh-CN"/>
              </w:rPr>
              <w:t>控制文件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Cs/>
                <w:sz w:val="24"/>
                <w:lang w:val="en-US" w:eastAsia="zh-CN"/>
              </w:rPr>
              <w:t>销售</w:t>
            </w:r>
            <w:r>
              <w:rPr>
                <w:rFonts w:hint="eastAsia" w:ascii="宋体" w:hAnsi="宋体"/>
                <w:bCs/>
                <w:sz w:val="24"/>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pacing w:val="-10"/>
                <w:sz w:val="20"/>
                <w:szCs w:val="20"/>
              </w:rPr>
              <w:t>主要设备：多</w:t>
            </w:r>
            <w:r>
              <w:rPr>
                <w:rFonts w:hint="eastAsia" w:ascii="宋体" w:hAnsi="宋体"/>
                <w:color w:val="auto"/>
                <w:spacing w:val="-10"/>
                <w:sz w:val="20"/>
                <w:szCs w:val="20"/>
                <w:lang w:val="en-US" w:eastAsia="zh-CN"/>
              </w:rPr>
              <w:t>电脑、打印机、电话等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 xml:space="preserve">设备是否满足要求                 </w:t>
            </w:r>
            <w:r>
              <w:rPr>
                <w:rFonts w:hint="eastAsia" w:ascii="宋体" w:hAnsi="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特种设备是否按规定检定           </w:t>
            </w:r>
            <w:r>
              <w:rPr>
                <w:rFonts w:hint="eastAsia" w:ascii="宋体" w:hAnsi="宋体"/>
                <w:color w:val="000000"/>
                <w:sz w:val="20"/>
                <w:szCs w:val="20"/>
              </w:rPr>
              <w:sym w:font="Wingdings" w:char="00A8"/>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auto"/>
                <w:sz w:val="20"/>
                <w:szCs w:val="20"/>
                <w:lang w:val="en-US"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无</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val="en-US" w:eastAsia="zh-CN"/>
              </w:rPr>
              <w:t>办公室</w:t>
            </w:r>
            <w:r>
              <w:rPr>
                <w:rFonts w:hint="eastAsia" w:ascii="宋体"/>
                <w:color w:val="000000"/>
                <w:sz w:val="20"/>
                <w:szCs w:val="20"/>
              </w:rPr>
              <w:t>内配备有灭火器消防器材，同时公司配备了办公所需的相应的电脑、电话、打印机、传真机等设施，能满足</w:t>
            </w:r>
            <w:r>
              <w:rPr>
                <w:rFonts w:hint="eastAsia" w:ascii="宋体" w:hAnsi="宋体"/>
                <w:szCs w:val="21"/>
              </w:rPr>
              <w:t>资质范围内的高低压开关成套设备的生产和销售</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widowControl/>
              <w:spacing w:line="460" w:lineRule="exact"/>
              <w:jc w:val="left"/>
              <w:rPr>
                <w:rFonts w:hint="eastAsia" w:ascii="宋体" w:eastAsia="宋体"/>
                <w:color w:val="000000"/>
                <w:sz w:val="20"/>
                <w:szCs w:val="20"/>
                <w:lang w:val="en-US" w:eastAsia="zh-CN"/>
              </w:rPr>
            </w:pPr>
            <w:r>
              <w:rPr>
                <w:rFonts w:hint="eastAsia" w:ascii="宋体"/>
                <w:color w:val="000000"/>
                <w:sz w:val="20"/>
                <w:szCs w:val="20"/>
              </w:rPr>
              <w:t>重要环境因素有：</w:t>
            </w:r>
            <w:r>
              <w:rPr>
                <w:rFonts w:hint="eastAsia"/>
                <w:szCs w:val="21"/>
              </w:rPr>
              <w:t>固废排放、火灾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widowControl/>
              <w:spacing w:line="460" w:lineRule="exact"/>
              <w:jc w:val="left"/>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Cs w:val="21"/>
              </w:rPr>
              <w:t>火灾、触电、</w:t>
            </w:r>
            <w:r>
              <w:rPr>
                <w:rFonts w:hint="eastAsia"/>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10</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rPr>
                <w:rFonts w:ascii="宋体"/>
                <w:b/>
                <w:color w:val="000000"/>
                <w:sz w:val="20"/>
                <w:szCs w:val="20"/>
              </w:rPr>
            </w:pPr>
            <w:r>
              <w:rPr>
                <w:rFonts w:hint="eastAsia" w:ascii="宋体" w:hAnsi="宋体"/>
                <w:b/>
                <w:color w:val="000000"/>
                <w:sz w:val="20"/>
                <w:szCs w:val="20"/>
              </w:rPr>
              <w:t>重点审核部门：</w:t>
            </w:r>
            <w:r>
              <w:rPr>
                <w:rFonts w:hint="eastAsia"/>
              </w:rPr>
              <w:t xml:space="preserve">行政人事部  市场营销部  技术部 财务部 </w:t>
            </w:r>
          </w:p>
          <w:p>
            <w:pPr>
              <w:rPr>
                <w:rFonts w:ascii="宋体"/>
                <w:b/>
                <w:color w:val="000000"/>
                <w:sz w:val="20"/>
                <w:szCs w:val="20"/>
              </w:rPr>
            </w:pPr>
            <w:r>
              <w:rPr>
                <w:rFonts w:hint="eastAsia" w:ascii="宋体" w:hAnsi="宋体"/>
                <w:b/>
                <w:color w:val="000000"/>
                <w:sz w:val="20"/>
                <w:szCs w:val="20"/>
              </w:rPr>
              <w:t>重点审核过程：</w:t>
            </w:r>
            <w:r>
              <w:rPr>
                <w:rFonts w:hint="eastAsia"/>
              </w:rPr>
              <w:t>行政人事部  市场营销部  技术部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设计</w:t>
            </w:r>
            <w:r>
              <w:rPr>
                <w:rFonts w:hint="eastAsia" w:ascii="宋体" w:hAnsi="宋体"/>
                <w:b/>
                <w:color w:val="000000"/>
                <w:sz w:val="20"/>
                <w:szCs w:val="20"/>
              </w:rPr>
              <w:t>场所</w:t>
            </w:r>
            <w:r>
              <w:rPr>
                <w:rFonts w:hint="eastAsia" w:ascii="宋体" w:hAnsi="宋体"/>
                <w:b/>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rPr>
              <w:t>行政人事部  市场营销部  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设计</w:t>
            </w:r>
            <w:r>
              <w:rPr>
                <w:rFonts w:hint="eastAsia" w:ascii="宋体" w:hAnsi="宋体"/>
                <w:b/>
                <w:color w:val="000000"/>
                <w:sz w:val="20"/>
                <w:szCs w:val="20"/>
              </w:rPr>
              <w:t>场所</w:t>
            </w:r>
            <w:r>
              <w:rPr>
                <w:rFonts w:hint="eastAsia" w:ascii="宋体" w:hAnsi="宋体"/>
                <w:b/>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rPr>
              <w:t>行政人事部  市场营销部  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设计</w:t>
            </w:r>
            <w:r>
              <w:rPr>
                <w:rFonts w:hint="eastAsia" w:ascii="宋体" w:hAnsi="宋体"/>
                <w:b/>
                <w:color w:val="000000"/>
                <w:sz w:val="20"/>
                <w:szCs w:val="20"/>
              </w:rPr>
              <w:t>场所</w:t>
            </w:r>
            <w:r>
              <w:rPr>
                <w:rFonts w:hint="eastAsia" w:ascii="宋体" w:hAnsi="宋体"/>
                <w:b/>
              </w:rPr>
              <w:t>、</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eastAsia" w:ascii="宋体" w:hAnsi="宋体"/>
                <w:color w:val="000000"/>
                <w:sz w:val="24"/>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4"/>
                <w:lang w:val="en-US" w:eastAsia="zh-CN"/>
              </w:rPr>
              <w:t xml:space="preserve">2021年5月6日  </w:t>
            </w:r>
          </w:p>
          <w:p>
            <w:pPr>
              <w:rPr>
                <w:rFonts w:hint="eastAsia" w:ascii="宋体" w:hAnsi="宋体"/>
                <w:color w:val="000000"/>
                <w:sz w:val="24"/>
                <w:lang w:val="en-US" w:eastAsia="zh-CN"/>
              </w:rPr>
            </w:pPr>
            <w:r>
              <w:rPr>
                <w:rFonts w:hint="eastAsia" w:ascii="宋体" w:hAnsi="宋体"/>
                <w:color w:val="000000"/>
                <w:sz w:val="24"/>
                <w:lang w:val="en-US" w:eastAsia="zh-CN"/>
              </w:rPr>
              <w:t>审核组长：王荣刚（A）</w:t>
            </w:r>
          </w:p>
          <w:p>
            <w:pPr>
              <w:rPr>
                <w:rFonts w:hint="eastAsia" w:ascii="宋体" w:hAnsi="宋体"/>
                <w:color w:val="000000"/>
                <w:sz w:val="24"/>
                <w:lang w:val="en-US" w:eastAsia="zh-CN"/>
              </w:rPr>
            </w:pPr>
            <w:r>
              <w:rPr>
                <w:rFonts w:hint="eastAsia" w:ascii="宋体" w:hAnsi="宋体"/>
                <w:color w:val="000000"/>
                <w:sz w:val="24"/>
                <w:lang w:val="en-US" w:eastAsia="zh-CN"/>
              </w:rPr>
              <w:t>组    员：温  宁（B）</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4"/>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w:t>
            </w:r>
            <w:r>
              <w:rPr>
                <w:rFonts w:hint="eastAsia" w:ascii="宋体" w:hAnsi="宋体"/>
                <w:bCs/>
                <w:szCs w:val="21"/>
              </w:rPr>
              <w:t>-20</w:t>
            </w:r>
            <w:r>
              <w:rPr>
                <w:rFonts w:hint="eastAsia" w:ascii="宋体" w:hAnsi="宋体"/>
                <w:bCs/>
                <w:szCs w:val="21"/>
                <w:lang w:val="en-US" w:eastAsia="zh-CN"/>
              </w:rPr>
              <w:t>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宋体" w:hAnsi="宋体"/>
                <w:sz w:val="24"/>
                <w:lang w:eastAsia="zh-CN"/>
              </w:rPr>
              <w:t>2021年5月</w:t>
            </w:r>
            <w:r>
              <w:rPr>
                <w:rFonts w:ascii="宋体" w:hAnsi="宋体"/>
                <w:sz w:val="24"/>
              </w:rPr>
              <w:t>20</w:t>
            </w:r>
            <w:r>
              <w:rPr>
                <w:rFonts w:hint="eastAsia" w:ascii="宋体" w:hAnsi="宋体"/>
                <w:sz w:val="24"/>
              </w:rPr>
              <w:t xml:space="preserve">日 </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pStyle w:val="14"/>
      </w:pP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sym w:font="Wingdings" w:char="00A8"/>
      </w:r>
      <w:r>
        <w:rPr>
          <w:rFonts w:hint="eastAsia" w:ascii="宋体" w:hAnsi="宋体"/>
          <w:b/>
          <w:color w:val="000000"/>
          <w:sz w:val="20"/>
          <w:szCs w:val="20"/>
        </w:rPr>
        <w:t>范围有变化，与组织最终确定二阶段范围是：</w:t>
      </w:r>
    </w:p>
    <w:p>
      <w:pPr>
        <w:pStyle w:val="14"/>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 w:name="_GoBack"/>
      <w:bookmarkEnd w:id="2"/>
      <w:r>
        <w:pict>
          <v:shape id="_x0000_s2051" o:spid="_x0000_s2051" o:spt="75" alt="" type="#_x0000_t75" style="position:absolute;left:0pt;margin-left:152.7pt;margin-top:-13pt;height:29pt;width:66.75pt;z-index:-251656192;mso-width-relative:page;mso-height-relative:page;" filled="f" o:preferrelative="t" stroked="f" coordsize="21600,21600">
            <v:path/>
            <v:fill on="f" focussize="0,0"/>
            <v:stroke on="f"/>
            <v:imagedata r:id="rId6" o:title=""/>
            <o:lock v:ext="edit" aspectratio="t"/>
          </v:shape>
        </w:pict>
      </w:r>
    </w:p>
    <w:p>
      <w:pPr>
        <w:pStyle w:val="14"/>
      </w:pPr>
      <w:r>
        <w:rPr>
          <w:rFonts w:hint="eastAsia" w:ascii="宋体" w:eastAsia="宋体"/>
          <w:b/>
          <w:color w:val="000000"/>
          <w:lang w:eastAsia="zh-CN"/>
        </w:rPr>
        <w:pict>
          <v:shape id="_x0000_s2050" o:spid="_x0000_s2050" o:spt="75" alt="0132c3187456fc52ef1e84329be7489" type="#_x0000_t75" style="position:absolute;left:0pt;margin-left:139.1pt;margin-top:6.5pt;height:56.5pt;width:85pt;z-index:-251657216;mso-width-relative:page;mso-height-relative:page;" filled="f" o:preferrelative="t" stroked="f" coordsize="21600,21600">
            <v:path/>
            <v:fill on="f" focussize="0,0"/>
            <v:stroke on="f"/>
            <v:imagedata r:id="rId7" o:title="0132c3187456fc52ef1e84329be7489"/>
            <o:lock v:ext="edit" aspectratio="t"/>
          </v:shape>
        </w:pict>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21.7.6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销售部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9"/>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9"/>
        <w:pBdr>
          <w:bottom w:val="none" w:color="auto" w:sz="0" w:space="0"/>
        </w:pBdr>
        <w:ind w:right="600"/>
        <w:jc w:val="both"/>
        <w:rPr>
          <w:rFonts w:hint="eastAsia" w:ascii="Times New Roman" w:hAnsi="Times New Roman" w:eastAsia="宋体" w:cs="Times New Roman"/>
          <w:b/>
          <w:bCs/>
          <w:color w:val="000000"/>
          <w:kern w:val="2"/>
          <w:sz w:val="22"/>
          <w:szCs w:val="22"/>
          <w:lang w:val="en-US" w:eastAsia="zh-CN" w:bidi="ar-SA"/>
        </w:rPr>
      </w:pPr>
      <w:r>
        <w:rPr>
          <w:rFonts w:hint="eastAsia" w:eastAsia="隶书"/>
          <w:color w:val="000000"/>
          <w:sz w:val="28"/>
          <w:szCs w:val="28"/>
        </w:rPr>
        <w:t>受审核方：</w:t>
      </w:r>
      <w:r>
        <w:rPr>
          <w:rFonts w:hint="eastAsia" w:ascii="Times New Roman" w:hAnsi="Times New Roman" w:eastAsia="宋体" w:cs="Times New Roman"/>
          <w:b/>
          <w:bCs/>
          <w:color w:val="000000"/>
          <w:kern w:val="2"/>
          <w:sz w:val="22"/>
          <w:szCs w:val="22"/>
          <w:lang w:val="en-US" w:eastAsia="zh-CN" w:bidi="ar-SA"/>
        </w:rPr>
        <w:t>山西得中电气有限公司</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948" w:type="dxa"/>
          </w:tcPr>
          <w:p>
            <w:pPr>
              <w:pStyle w:val="9"/>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9"/>
              <w:pBdr>
                <w:bottom w:val="none" w:color="auto" w:sz="0" w:space="0"/>
              </w:pBdr>
              <w:ind w:right="600"/>
              <w:jc w:val="left"/>
              <w:rPr>
                <w:rFonts w:ascii="宋体"/>
                <w:color w:val="000000"/>
                <w:sz w:val="24"/>
                <w:szCs w:val="24"/>
              </w:rPr>
            </w:pPr>
          </w:p>
          <w:p>
            <w:pPr>
              <w:pStyle w:val="9"/>
              <w:pBdr>
                <w:bottom w:val="none" w:color="auto" w:sz="0" w:space="0"/>
              </w:pBdr>
              <w:ind w:right="600"/>
              <w:jc w:val="left"/>
              <w:rPr>
                <w:rFonts w:ascii="宋体"/>
                <w:color w:val="000000"/>
                <w:sz w:val="24"/>
                <w:szCs w:val="24"/>
              </w:rPr>
            </w:pPr>
          </w:p>
          <w:p>
            <w:pPr>
              <w:pStyle w:val="9"/>
              <w:pBdr>
                <w:bottom w:val="none" w:color="auto" w:sz="0" w:space="0"/>
              </w:pBdr>
              <w:ind w:right="600"/>
              <w:jc w:val="left"/>
              <w:rPr>
                <w:rFonts w:ascii="宋体"/>
                <w:color w:val="000000"/>
                <w:sz w:val="24"/>
                <w:szCs w:val="24"/>
              </w:rPr>
            </w:pPr>
          </w:p>
          <w:p>
            <w:pPr>
              <w:pStyle w:val="9"/>
              <w:pBdr>
                <w:bottom w:val="none" w:color="auto" w:sz="0" w:space="0"/>
              </w:pBdr>
              <w:ind w:right="600"/>
              <w:jc w:val="left"/>
              <w:rPr>
                <w:rFonts w:ascii="宋体"/>
                <w:color w:val="000000"/>
                <w:sz w:val="24"/>
                <w:szCs w:val="24"/>
              </w:rPr>
            </w:pPr>
          </w:p>
        </w:tc>
        <w:tc>
          <w:tcPr>
            <w:tcW w:w="5681" w:type="dxa"/>
          </w:tcPr>
          <w:p>
            <w:pPr>
              <w:rPr>
                <w:rFonts w:hint="default"/>
                <w:lang w:val="en-US"/>
              </w:rPr>
            </w:pPr>
            <w:r>
              <w:rPr>
                <w:rFonts w:hint="eastAsia"/>
                <w:color w:val="000000"/>
                <w:sz w:val="24"/>
                <w:lang w:val="en-US" w:eastAsia="zh-CN"/>
              </w:rPr>
              <w:t xml:space="preserve">  </w:t>
            </w:r>
            <w:r>
              <w:rPr>
                <w:rFonts w:hint="eastAsia" w:eastAsia="宋体"/>
                <w:b/>
                <w:color w:val="000000"/>
                <w:spacing w:val="-12"/>
                <w:sz w:val="26"/>
                <w:szCs w:val="26"/>
                <w:lang w:val="en-US" w:eastAsia="zh-CN"/>
              </w:rPr>
              <w:t xml:space="preserve"> 企业的外包过程为委托加工，未见到外包合同及外包供方评审记录</w:t>
            </w:r>
          </w:p>
          <w:p>
            <w:pPr>
              <w:pStyle w:val="14"/>
              <w:rPr>
                <w:rFonts w:hint="default" w:eastAsia="宋体"/>
                <w:color w:val="000000"/>
                <w:sz w:val="24"/>
                <w:lang w:val="en-US" w:eastAsia="zh-CN"/>
              </w:rPr>
            </w:pPr>
          </w:p>
        </w:tc>
        <w:tc>
          <w:tcPr>
            <w:tcW w:w="1688" w:type="dxa"/>
          </w:tcPr>
          <w:p>
            <w:pPr>
              <w:pStyle w:val="9"/>
              <w:pBdr>
                <w:bottom w:val="none" w:color="auto" w:sz="0" w:space="0"/>
              </w:pBdr>
              <w:ind w:right="600"/>
              <w:jc w:val="left"/>
              <w:rPr>
                <w:rFonts w:hint="default" w:eastAsia="宋体"/>
                <w:color w:val="000000"/>
                <w:sz w:val="32"/>
                <w:szCs w:val="32"/>
                <w:lang w:val="en-US" w:eastAsia="zh-CN"/>
              </w:rPr>
            </w:pPr>
            <w:r>
              <w:rPr>
                <w:rFonts w:hint="eastAsia"/>
                <w:color w:val="000000"/>
                <w:sz w:val="32"/>
                <w:szCs w:val="32"/>
                <w:lang w:val="en-US" w:eastAsia="zh-CN"/>
              </w:rPr>
              <w:t>Q8.4</w:t>
            </w:r>
          </w:p>
        </w:tc>
        <w:tc>
          <w:tcPr>
            <w:tcW w:w="1811" w:type="dxa"/>
          </w:tcPr>
          <w:p>
            <w:pPr>
              <w:pStyle w:val="9"/>
              <w:pBdr>
                <w:bottom w:val="none" w:color="auto" w:sz="0" w:space="0"/>
              </w:pBdr>
              <w:ind w:right="600"/>
              <w:jc w:val="left"/>
              <w:rPr>
                <w:color w:val="000000"/>
                <w:sz w:val="32"/>
                <w:szCs w:val="32"/>
              </w:rPr>
            </w:pPr>
            <w:r>
              <w:rPr>
                <w:rFonts w:hint="eastAsia"/>
                <w:color w:val="000000"/>
                <w:sz w:val="32"/>
                <w:szCs w:val="32"/>
                <w:lang w:val="en-US" w:eastAsia="zh-CN"/>
              </w:rPr>
              <w:t>Q8.4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948" w:type="dxa"/>
          </w:tcPr>
          <w:p>
            <w:pPr>
              <w:pStyle w:val="9"/>
              <w:pBdr>
                <w:bottom w:val="none" w:color="auto" w:sz="0" w:space="0"/>
              </w:pBdr>
              <w:ind w:right="600"/>
              <w:jc w:val="left"/>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tcPr>
          <w:p>
            <w:pPr>
              <w:pStyle w:val="14"/>
              <w:ind w:firstLine="237" w:firstLineChars="100"/>
              <w:rPr>
                <w:rFonts w:hint="default" w:ascii="Times New Roman" w:hAnsi="Times New Roman" w:eastAsia="宋体" w:cs="Times New Roman"/>
                <w:b/>
                <w:bCs w:val="0"/>
                <w:color w:val="000000"/>
                <w:spacing w:val="-12"/>
                <w:kern w:val="2"/>
                <w:sz w:val="26"/>
                <w:szCs w:val="26"/>
                <w:lang w:val="en-US" w:eastAsia="zh-CN" w:bidi="ar-SA"/>
              </w:rPr>
            </w:pPr>
            <w:r>
              <w:rPr>
                <w:rFonts w:hint="eastAsia" w:ascii="Times New Roman" w:hAnsi="Times New Roman" w:eastAsia="宋体" w:cs="Times New Roman"/>
                <w:b/>
                <w:bCs w:val="0"/>
                <w:color w:val="000000"/>
                <w:spacing w:val="-12"/>
                <w:kern w:val="2"/>
                <w:sz w:val="26"/>
                <w:szCs w:val="26"/>
                <w:lang w:val="en-US" w:eastAsia="zh-CN" w:bidi="ar-SA"/>
              </w:rPr>
              <w:t>外来文件清单：未见与认证范围相关的法律法规及</w:t>
            </w:r>
            <w:r>
              <w:rPr>
                <w:rFonts w:hint="eastAsia" w:eastAsia="宋体" w:cs="Times New Roman"/>
                <w:b/>
                <w:bCs w:val="0"/>
                <w:color w:val="000000"/>
                <w:spacing w:val="-12"/>
                <w:kern w:val="2"/>
                <w:sz w:val="26"/>
                <w:szCs w:val="26"/>
                <w:lang w:val="en-US" w:eastAsia="zh-CN" w:bidi="ar-SA"/>
              </w:rPr>
              <w:t>相关</w:t>
            </w:r>
            <w:r>
              <w:rPr>
                <w:rFonts w:hint="eastAsia" w:ascii="Times New Roman" w:hAnsi="Times New Roman" w:eastAsia="宋体" w:cs="Times New Roman"/>
                <w:b/>
                <w:bCs w:val="0"/>
                <w:color w:val="000000"/>
                <w:spacing w:val="-12"/>
                <w:kern w:val="2"/>
                <w:sz w:val="26"/>
                <w:szCs w:val="26"/>
                <w:lang w:val="en-US" w:eastAsia="zh-CN" w:bidi="ar-SA"/>
              </w:rPr>
              <w:t>标准</w:t>
            </w:r>
          </w:p>
          <w:p>
            <w:pPr>
              <w:pStyle w:val="14"/>
              <w:rPr>
                <w:rFonts w:hint="eastAsia"/>
                <w:color w:val="000000"/>
                <w:sz w:val="24"/>
                <w:lang w:val="en-US" w:eastAsia="zh-CN"/>
              </w:rPr>
            </w:pPr>
          </w:p>
        </w:tc>
        <w:tc>
          <w:tcPr>
            <w:tcW w:w="1688" w:type="dxa"/>
          </w:tcPr>
          <w:p>
            <w:pPr>
              <w:pStyle w:val="9"/>
              <w:pBdr>
                <w:bottom w:val="none" w:color="auto" w:sz="0" w:space="0"/>
              </w:pBdr>
              <w:ind w:right="600"/>
              <w:jc w:val="left"/>
              <w:rPr>
                <w:rFonts w:hint="eastAsia"/>
                <w:color w:val="000000"/>
                <w:sz w:val="32"/>
                <w:szCs w:val="32"/>
                <w:lang w:val="en-US" w:eastAsia="zh-CN"/>
              </w:rPr>
            </w:pPr>
            <w:r>
              <w:rPr>
                <w:rFonts w:hint="eastAsia"/>
                <w:color w:val="000000"/>
                <w:sz w:val="32"/>
                <w:szCs w:val="32"/>
                <w:lang w:val="en-US" w:eastAsia="zh-CN"/>
              </w:rPr>
              <w:t>QES</w:t>
            </w:r>
          </w:p>
          <w:p>
            <w:pPr>
              <w:pStyle w:val="9"/>
              <w:pBdr>
                <w:bottom w:val="none" w:color="auto" w:sz="0" w:space="0"/>
              </w:pBdr>
              <w:ind w:right="600"/>
              <w:jc w:val="left"/>
              <w:rPr>
                <w:rFonts w:hint="default" w:eastAsia="宋体"/>
                <w:color w:val="000000"/>
                <w:sz w:val="32"/>
                <w:szCs w:val="32"/>
                <w:lang w:val="en-US" w:eastAsia="zh-CN"/>
              </w:rPr>
            </w:pPr>
            <w:r>
              <w:rPr>
                <w:rFonts w:hint="eastAsia"/>
                <w:color w:val="000000"/>
                <w:sz w:val="32"/>
                <w:szCs w:val="32"/>
                <w:lang w:val="en-US" w:eastAsia="zh-CN"/>
              </w:rPr>
              <w:t>7.5</w:t>
            </w:r>
          </w:p>
        </w:tc>
        <w:tc>
          <w:tcPr>
            <w:tcW w:w="1811" w:type="dxa"/>
          </w:tcPr>
          <w:p>
            <w:pPr>
              <w:pStyle w:val="9"/>
              <w:pBdr>
                <w:bottom w:val="none" w:color="auto" w:sz="0" w:space="0"/>
              </w:pBdr>
              <w:ind w:right="600"/>
              <w:jc w:val="left"/>
              <w:rPr>
                <w:rFonts w:hint="eastAsia"/>
                <w:color w:val="000000"/>
                <w:sz w:val="32"/>
                <w:szCs w:val="32"/>
                <w:lang w:val="en-US" w:eastAsia="zh-CN"/>
              </w:rPr>
            </w:pPr>
            <w:r>
              <w:rPr>
                <w:rFonts w:hint="eastAsia"/>
                <w:color w:val="000000"/>
                <w:sz w:val="32"/>
                <w:szCs w:val="32"/>
                <w:lang w:val="en-US" w:eastAsia="zh-CN"/>
              </w:rPr>
              <w:t>QES</w:t>
            </w:r>
          </w:p>
          <w:p>
            <w:pPr>
              <w:pStyle w:val="9"/>
              <w:pBdr>
                <w:bottom w:val="none" w:color="auto" w:sz="0" w:space="0"/>
              </w:pBdr>
              <w:ind w:right="600"/>
              <w:jc w:val="left"/>
              <w:rPr>
                <w:color w:val="000000"/>
                <w:sz w:val="32"/>
                <w:szCs w:val="32"/>
              </w:rPr>
            </w:pPr>
            <w:r>
              <w:rPr>
                <w:rFonts w:hint="eastAsia"/>
                <w:color w:val="000000"/>
                <w:sz w:val="32"/>
                <w:szCs w:val="32"/>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948" w:type="dxa"/>
          </w:tcPr>
          <w:p>
            <w:pPr>
              <w:pStyle w:val="9"/>
              <w:pBdr>
                <w:bottom w:val="none" w:color="auto" w:sz="0" w:space="0"/>
              </w:pBdr>
              <w:ind w:right="600"/>
              <w:jc w:val="left"/>
              <w:rPr>
                <w:rFonts w:hint="default" w:ascii="宋体"/>
                <w:color w:val="000000"/>
                <w:sz w:val="24"/>
                <w:szCs w:val="24"/>
                <w:lang w:val="en-US" w:eastAsia="zh-CN"/>
              </w:rPr>
            </w:pPr>
            <w:r>
              <w:rPr>
                <w:rFonts w:hint="eastAsia" w:ascii="宋体"/>
                <w:color w:val="000000"/>
                <w:sz w:val="24"/>
                <w:szCs w:val="24"/>
                <w:lang w:val="en-US" w:eastAsia="zh-CN"/>
              </w:rPr>
              <w:t>3</w:t>
            </w:r>
          </w:p>
        </w:tc>
        <w:tc>
          <w:tcPr>
            <w:tcW w:w="5681" w:type="dxa"/>
          </w:tcPr>
          <w:p>
            <w:pPr>
              <w:pStyle w:val="14"/>
              <w:rPr>
                <w:rFonts w:hint="default"/>
                <w:color w:val="000000"/>
                <w:sz w:val="24"/>
                <w:lang w:val="en-US" w:eastAsia="zh-CN"/>
              </w:rPr>
            </w:pPr>
            <w:r>
              <w:rPr>
                <w:rFonts w:hint="eastAsia"/>
                <w:color w:val="000000"/>
                <w:sz w:val="24"/>
                <w:lang w:val="en-US" w:eastAsia="zh-CN"/>
              </w:rPr>
              <w:t>公司总目标统计结果与手册规定不一致</w:t>
            </w:r>
          </w:p>
        </w:tc>
        <w:tc>
          <w:tcPr>
            <w:tcW w:w="1688" w:type="dxa"/>
          </w:tcPr>
          <w:p>
            <w:pPr>
              <w:pStyle w:val="9"/>
              <w:pBdr>
                <w:bottom w:val="none" w:color="auto" w:sz="0" w:space="0"/>
              </w:pBdr>
              <w:ind w:right="600"/>
              <w:jc w:val="left"/>
              <w:rPr>
                <w:rFonts w:hint="eastAsia"/>
                <w:color w:val="000000"/>
                <w:sz w:val="32"/>
                <w:szCs w:val="32"/>
                <w:lang w:val="en-US" w:eastAsia="zh-CN"/>
              </w:rPr>
            </w:pPr>
            <w:r>
              <w:rPr>
                <w:rFonts w:hint="eastAsia"/>
                <w:color w:val="000000"/>
                <w:sz w:val="32"/>
                <w:szCs w:val="32"/>
                <w:lang w:val="en-US" w:eastAsia="zh-CN"/>
              </w:rPr>
              <w:t>QES</w:t>
            </w:r>
          </w:p>
          <w:p>
            <w:pPr>
              <w:pStyle w:val="9"/>
              <w:pBdr>
                <w:bottom w:val="none" w:color="auto" w:sz="0" w:space="0"/>
              </w:pBdr>
              <w:ind w:right="600"/>
              <w:jc w:val="left"/>
              <w:rPr>
                <w:rFonts w:hint="default"/>
                <w:color w:val="000000"/>
                <w:sz w:val="32"/>
                <w:szCs w:val="32"/>
                <w:lang w:val="en-US" w:eastAsia="zh-CN"/>
              </w:rPr>
            </w:pPr>
            <w:r>
              <w:rPr>
                <w:rFonts w:hint="eastAsia"/>
                <w:color w:val="000000"/>
                <w:sz w:val="32"/>
                <w:szCs w:val="32"/>
                <w:lang w:val="en-US" w:eastAsia="zh-CN"/>
              </w:rPr>
              <w:t>6.2</w:t>
            </w:r>
          </w:p>
        </w:tc>
        <w:tc>
          <w:tcPr>
            <w:tcW w:w="1811" w:type="dxa"/>
          </w:tcPr>
          <w:p>
            <w:pPr>
              <w:pStyle w:val="9"/>
              <w:pBdr>
                <w:bottom w:val="none" w:color="auto" w:sz="0" w:space="0"/>
              </w:pBdr>
              <w:ind w:right="600"/>
              <w:jc w:val="left"/>
              <w:rPr>
                <w:rFonts w:hint="eastAsia"/>
                <w:color w:val="000000"/>
                <w:sz w:val="32"/>
                <w:szCs w:val="32"/>
                <w:lang w:val="en-US" w:eastAsia="zh-CN"/>
              </w:rPr>
            </w:pPr>
            <w:r>
              <w:rPr>
                <w:rFonts w:hint="eastAsia"/>
                <w:color w:val="000000"/>
                <w:sz w:val="32"/>
                <w:szCs w:val="32"/>
                <w:lang w:val="en-US" w:eastAsia="zh-CN"/>
              </w:rPr>
              <w:t>QES</w:t>
            </w:r>
          </w:p>
          <w:p>
            <w:pPr>
              <w:pStyle w:val="9"/>
              <w:pBdr>
                <w:bottom w:val="none" w:color="auto" w:sz="0" w:space="0"/>
              </w:pBdr>
              <w:ind w:right="600"/>
              <w:jc w:val="left"/>
              <w:rPr>
                <w:rFonts w:hint="eastAsia"/>
                <w:color w:val="000000"/>
                <w:sz w:val="32"/>
                <w:szCs w:val="32"/>
                <w:lang w:val="en-US" w:eastAsia="zh-CN"/>
              </w:rPr>
            </w:pPr>
            <w:r>
              <w:rPr>
                <w:rFonts w:hint="eastAsia"/>
                <w:color w:val="000000"/>
                <w:sz w:val="32"/>
                <w:szCs w:val="32"/>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FE"/>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7</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14"/>
            </w:pPr>
          </w:p>
          <w:p>
            <w:pPr>
              <w:pStyle w:val="14"/>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21.7.7</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图片 24" o:spid="_x0000_s4097" o:spt="75" type="#_x0000_t75" style="position:absolute;left:0pt;margin-left:-0.05pt;margin-top:0.35pt;height:34.1pt;width:32.3pt;mso-wrap-distance-left:9pt;mso-wrap-distance-right:9pt;z-index:-251655168;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1"/>
      </w:pBdr>
      <w:spacing w:line="320" w:lineRule="exact"/>
      <w:jc w:val="left"/>
    </w:pPr>
    <w:r>
      <w:pict>
        <v:shape id="文本框 1" o:spid="_x0000_s4098" o:spt="202" type="#_x0000_t202" style="position:absolute;left:0pt;margin-left:345.5pt;margin-top:2.2pt;height:20.2pt;width:156.25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9"/>
        <w:rFonts w:hint="default"/>
      </w:rPr>
      <w:t xml:space="preserve">        </w:t>
    </w:r>
    <w:r>
      <w:rPr>
        <w:rStyle w:val="19"/>
        <w:rFonts w:hint="default"/>
        <w:w w:val="90"/>
      </w:rPr>
      <w:t>Beijing International Standard united Certification Co.,Ltd.</w:t>
    </w:r>
    <w:r>
      <w:rPr>
        <w:rStyle w:val="19"/>
        <w:rFonts w:hint="default"/>
        <w:w w:val="90"/>
        <w:szCs w:val="21"/>
      </w:rPr>
      <w:t xml:space="preserve">  </w:t>
    </w:r>
    <w:r>
      <w:rPr>
        <w:rStyle w:val="19"/>
        <w:rFonts w:hint="default"/>
        <w:w w:val="90"/>
        <w:sz w:val="20"/>
      </w:rPr>
      <w:t xml:space="preserve"> </w:t>
    </w:r>
    <w:r>
      <w:rPr>
        <w:rStyle w:val="19"/>
        <w:rFonts w:hint="default"/>
        <w:w w:val="90"/>
      </w:rPr>
      <w:t xml:space="preserve">                   </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A3715"/>
    <w:rsid w:val="000B1456"/>
    <w:rsid w:val="000C5A14"/>
    <w:rsid w:val="000D203D"/>
    <w:rsid w:val="000F224E"/>
    <w:rsid w:val="00134BFD"/>
    <w:rsid w:val="00140F7D"/>
    <w:rsid w:val="00146C97"/>
    <w:rsid w:val="00162C55"/>
    <w:rsid w:val="001A2FFB"/>
    <w:rsid w:val="001B2618"/>
    <w:rsid w:val="00217A0D"/>
    <w:rsid w:val="00231860"/>
    <w:rsid w:val="00232BB6"/>
    <w:rsid w:val="0024143C"/>
    <w:rsid w:val="0025771B"/>
    <w:rsid w:val="00257EFE"/>
    <w:rsid w:val="00264768"/>
    <w:rsid w:val="0027570E"/>
    <w:rsid w:val="00297521"/>
    <w:rsid w:val="002B0E13"/>
    <w:rsid w:val="002B1C7A"/>
    <w:rsid w:val="002B69C4"/>
    <w:rsid w:val="002D10A2"/>
    <w:rsid w:val="002D2005"/>
    <w:rsid w:val="002E017B"/>
    <w:rsid w:val="003217B6"/>
    <w:rsid w:val="00324E31"/>
    <w:rsid w:val="003343F0"/>
    <w:rsid w:val="00344FC9"/>
    <w:rsid w:val="00352319"/>
    <w:rsid w:val="00392C35"/>
    <w:rsid w:val="003938BB"/>
    <w:rsid w:val="00397EFF"/>
    <w:rsid w:val="003B3E12"/>
    <w:rsid w:val="003C292D"/>
    <w:rsid w:val="003C7E98"/>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4770A"/>
    <w:rsid w:val="005756E5"/>
    <w:rsid w:val="00577AF9"/>
    <w:rsid w:val="00577E0D"/>
    <w:rsid w:val="005942AD"/>
    <w:rsid w:val="00603A10"/>
    <w:rsid w:val="00615C86"/>
    <w:rsid w:val="00623AC0"/>
    <w:rsid w:val="006251C4"/>
    <w:rsid w:val="00625612"/>
    <w:rsid w:val="006423A3"/>
    <w:rsid w:val="00664BE5"/>
    <w:rsid w:val="006657D1"/>
    <w:rsid w:val="00674673"/>
    <w:rsid w:val="00677DC8"/>
    <w:rsid w:val="00687090"/>
    <w:rsid w:val="006A4E6D"/>
    <w:rsid w:val="006A7B46"/>
    <w:rsid w:val="006B34E4"/>
    <w:rsid w:val="006B5A3A"/>
    <w:rsid w:val="006F5F63"/>
    <w:rsid w:val="0070388F"/>
    <w:rsid w:val="00713C9E"/>
    <w:rsid w:val="007217F9"/>
    <w:rsid w:val="00747F8A"/>
    <w:rsid w:val="007673B7"/>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D09B6"/>
    <w:rsid w:val="009F5822"/>
    <w:rsid w:val="00A35AD2"/>
    <w:rsid w:val="00A45A99"/>
    <w:rsid w:val="00A45F1F"/>
    <w:rsid w:val="00A57188"/>
    <w:rsid w:val="00A66F07"/>
    <w:rsid w:val="00A86665"/>
    <w:rsid w:val="00AA0934"/>
    <w:rsid w:val="00AB23A7"/>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A5E27"/>
    <w:rsid w:val="00EB39C2"/>
    <w:rsid w:val="00EC5AF6"/>
    <w:rsid w:val="00EE5187"/>
    <w:rsid w:val="00EF1786"/>
    <w:rsid w:val="00EF2763"/>
    <w:rsid w:val="00EF7D0C"/>
    <w:rsid w:val="00F07780"/>
    <w:rsid w:val="00F329B1"/>
    <w:rsid w:val="00F46849"/>
    <w:rsid w:val="00F57EB8"/>
    <w:rsid w:val="00F651EB"/>
    <w:rsid w:val="00F769D3"/>
    <w:rsid w:val="00F9713E"/>
    <w:rsid w:val="00FE639C"/>
    <w:rsid w:val="0C721D1B"/>
    <w:rsid w:val="12D6052A"/>
    <w:rsid w:val="13AB5065"/>
    <w:rsid w:val="15561B51"/>
    <w:rsid w:val="16A50E54"/>
    <w:rsid w:val="1E2252C2"/>
    <w:rsid w:val="21775BA8"/>
    <w:rsid w:val="28207970"/>
    <w:rsid w:val="2B1C6D57"/>
    <w:rsid w:val="324C4D83"/>
    <w:rsid w:val="36F10BB0"/>
    <w:rsid w:val="3BE052AD"/>
    <w:rsid w:val="49916B26"/>
    <w:rsid w:val="4CEA5433"/>
    <w:rsid w:val="4E7F1263"/>
    <w:rsid w:val="560832DF"/>
    <w:rsid w:val="57CE14A5"/>
    <w:rsid w:val="59000032"/>
    <w:rsid w:val="5AA57EC5"/>
    <w:rsid w:val="66714675"/>
    <w:rsid w:val="6CFC1B86"/>
    <w:rsid w:val="6F235DA8"/>
    <w:rsid w:val="6F9860B4"/>
    <w:rsid w:val="743556D8"/>
    <w:rsid w:val="7F226C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before="100" w:beforeAutospacing="1"/>
      <w:ind w:firstLine="420" w:firstLineChars="100"/>
    </w:pPr>
  </w:style>
  <w:style w:type="paragraph" w:styleId="3">
    <w:name w:val="Body Text"/>
    <w:basedOn w:val="1"/>
    <w:next w:val="4"/>
    <w:qFormat/>
    <w:uiPriority w:val="0"/>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Balloon Text"/>
    <w:basedOn w:val="1"/>
    <w:link w:val="15"/>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0"/>
    <w:pPr>
      <w:spacing w:before="25" w:after="25"/>
    </w:pPr>
    <w:rPr>
      <w:bCs/>
      <w:spacing w:val="10"/>
    </w:rPr>
  </w:style>
  <w:style w:type="character" w:customStyle="1" w:styleId="15">
    <w:name w:val="批注框文本 字符"/>
    <w:link w:val="7"/>
    <w:semiHidden/>
    <w:qFormat/>
    <w:locked/>
    <w:uiPriority w:val="99"/>
    <w:rPr>
      <w:rFonts w:ascii="Times New Roman" w:hAnsi="Times New Roman" w:eastAsia="宋体" w:cs="Times New Roman"/>
      <w:sz w:val="18"/>
      <w:szCs w:val="18"/>
    </w:rPr>
  </w:style>
  <w:style w:type="character" w:customStyle="1" w:styleId="16">
    <w:name w:val="页脚 字符"/>
    <w:link w:val="8"/>
    <w:qFormat/>
    <w:locked/>
    <w:uiPriority w:val="99"/>
    <w:rPr>
      <w:rFonts w:ascii="Times New Roman" w:hAnsi="Times New Roman" w:eastAsia="宋体" w:cs="Times New Roman"/>
      <w:sz w:val="18"/>
      <w:szCs w:val="18"/>
    </w:rPr>
  </w:style>
  <w:style w:type="character" w:customStyle="1" w:styleId="17">
    <w:name w:val="页眉 字符"/>
    <w:link w:val="9"/>
    <w:qFormat/>
    <w:locked/>
    <w:uiPriority w:val="99"/>
    <w:rPr>
      <w:rFonts w:ascii="Calibri" w:hAnsi="Calibri" w:eastAsia="宋体" w:cs="Times New Roman"/>
      <w:sz w:val="18"/>
      <w:szCs w:val="18"/>
    </w:rPr>
  </w:style>
  <w:style w:type="character" w:customStyle="1" w:styleId="18">
    <w:name w:val="副标题 字符"/>
    <w:link w:val="10"/>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character" w:customStyle="1" w:styleId="20">
    <w:name w:val="Char Char"/>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1399</Words>
  <Characters>7978</Characters>
  <Lines>66</Lines>
  <Paragraphs>18</Paragraphs>
  <TotalTime>0</TotalTime>
  <ScaleCrop>false</ScaleCrop>
  <LinksUpToDate>false</LinksUpToDate>
  <CharactersWithSpaces>9359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2021-07-07T00:32:07Z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1DFAED004D4940F5B041917FEE2D6010</vt:lpwstr>
  </property>
</Properties>
</file>