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0"/>
        <w:gridCol w:w="1163"/>
        <w:gridCol w:w="6"/>
        <w:gridCol w:w="567"/>
        <w:gridCol w:w="501"/>
        <w:gridCol w:w="741"/>
        <w:gridCol w:w="75"/>
        <w:gridCol w:w="101"/>
        <w:gridCol w:w="589"/>
        <w:gridCol w:w="57"/>
        <w:gridCol w:w="20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山东旭尊电子科技有限公司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山东省枣庄市峄城经济开发区科达西路10号汉芯半导体产业园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黄晋发</w:t>
            </w:r>
            <w:bookmarkEnd w:id="2"/>
          </w:p>
        </w:tc>
        <w:tc>
          <w:tcPr>
            <w:tcW w:w="11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13371113589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277300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8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黄晋发</w:t>
            </w:r>
          </w:p>
        </w:tc>
        <w:tc>
          <w:tcPr>
            <w:tcW w:w="11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346741958@qq.com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0366-2021-QE</w:t>
            </w:r>
            <w:bookmarkEnd w:id="8"/>
          </w:p>
        </w:tc>
        <w:tc>
          <w:tcPr>
            <w:tcW w:w="11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Q：锂离子电池的组装及销售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E：锂离子电池的组装及销售所涉及场所的相关环境管理活动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E：19.10.00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2021年06月08日 上午至2021年06月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(共2.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王宁敏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13500552028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孔永乐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E:19.10.00</w:t>
            </w:r>
          </w:p>
        </w:tc>
        <w:tc>
          <w:tcPr>
            <w:tcW w:w="15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18266371080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992"/>
        <w:gridCol w:w="5529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12：00-13：00午餐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QE：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质量/环境管理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体系及其过程、5.1领导作用和承诺、5.2质量/环境方针、5.3组织的岗位、职责和权限、协商与参与、6.1应对风险和机遇的措施、6.2质量/环境/目标及其实现的策划、Q6.3变更的策划、7.1.1（E7.1）资源总则、7.4沟通/信息交流、9.3管理评审、10.1改进、10.3持续改进，</w:t>
            </w:r>
          </w:p>
          <w:p>
            <w:pPr>
              <w:ind w:firstLine="396" w:firstLineChars="20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6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529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QMS:5.3组织的岗位、职责和权限、6.2质量目标、8.2产品和服务的要求、8.4外部提供过程、产品和服务的控制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8.5.3顾客或外部供方的财产、9.1.2顾客满意</w:t>
            </w:r>
          </w:p>
          <w:p>
            <w:pPr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Arial"/>
                <w:sz w:val="21"/>
                <w:szCs w:val="21"/>
              </w:rPr>
              <w:t>S: 5.3组织的岗位、职责和权限、6.2环境与目标、6.1.2环境因素与评价、8.1运行策划和控制、8.2应急准备和响应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Arial"/>
                <w:sz w:val="21"/>
                <w:szCs w:val="21"/>
              </w:rPr>
              <w:t>S: 5.3组织的岗位、职责和权限、6.2环境与目标、6.1.2环境因素与评价、8.1运行策划和控制、8.2应急准备和响应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6" w:type="dxa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left="21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29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5.3组织的岗位、职责和权限、6.2环境与目标、6.1.2环境因素/与评价、8.1运行策划和控制、8.2应急准备和响应</w:t>
            </w:r>
          </w:p>
        </w:tc>
        <w:tc>
          <w:tcPr>
            <w:tcW w:w="796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12：00-13：00午餐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29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QMS:5.3组织的岗位、职责和权限、6.2质量目标、产品和服务的控制、7.1.3基础设施、7.1.4过程运行环境、8.1运行策划和控制、8.3产品和服务的设计和开发不适用确认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sz w:val="21"/>
                <w:szCs w:val="21"/>
              </w:rPr>
              <w:t>和服务提供的控制、8.5.2产品标识和可追朔性、8.5.4产品防护、8.5.5交付后的活动、8.5.6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sz w:val="21"/>
                <w:szCs w:val="21"/>
              </w:rPr>
              <w:t>和服务提供的更改控制</w:t>
            </w:r>
          </w:p>
          <w:p>
            <w:pPr>
              <w:spacing w:line="32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5.3组织的岗位、职责和权限、6.2环境与目标、6.1.2环境因素/与评价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6" w:type="dxa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1276" w:type="dxa"/>
            <w:vMerge w:val="continue"/>
            <w:tcBorders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552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EMS:6.1.2环境因素的辨识与评价、6.1.3合规义务、6.1.4措施的策划、8.1运行策划和控制、9.1监视、测量、分析和评价（9.1.1总则、9.1.2合规性评价）、8.2应急准备和响应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796" w:type="dxa"/>
          </w:tcPr>
          <w:p>
            <w:pPr>
              <w:spacing w:line="240" w:lineRule="exact"/>
              <w:ind w:firstLine="210" w:firstLineChars="1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76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  <w:vAlign w:val="top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末次会：综合评价QMS\EMS管理体系运行总体情况及改进要求，宣告审核发现及审核结论。</w:t>
            </w:r>
          </w:p>
        </w:tc>
        <w:tc>
          <w:tcPr>
            <w:tcW w:w="796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A05EE"/>
    <w:rsid w:val="262544CF"/>
    <w:rsid w:val="419F00AC"/>
    <w:rsid w:val="4E5C1910"/>
    <w:rsid w:val="6A656584"/>
    <w:rsid w:val="6CAE5D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2021-06-07T11:16:45Z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F9AF1E847C8343EFAABEF292BC1682A9</vt:lpwstr>
  </property>
</Properties>
</file>