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0587-2021-SB</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江西铭硕工程技术有限公司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褚敏杰</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服务认证审查员</w:t>
            </w:r>
          </w:p>
        </w:tc>
        <w:tc>
          <w:tcPr>
            <w:tcW w:w="2179" w:type="dxa"/>
            <w:gridSpan w:val="2"/>
            <w:vAlign w:val="center"/>
          </w:tcPr>
          <w:p w:rsidR="006F7AD0">
            <w:pPr>
              <w:spacing w:line="240" w:lineRule="exact"/>
              <w:jc w:val="center"/>
              <w:rPr>
                <w:b/>
                <w:color w:val="000000"/>
                <w:sz w:val="20"/>
                <w:szCs w:val="20"/>
              </w:rPr>
            </w:pPr>
            <w:r>
              <w:rPr>
                <w:b/>
                <w:color w:val="000000"/>
                <w:sz w:val="20"/>
                <w:szCs w:val="20"/>
              </w:rPr>
              <w:t>02.01.02</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服务认证（品牌）</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江西铭硕工程技术有限公司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江西省南昌市临空经济区儒乐湖大街955号临瑞青年公寓1号楼3楼336室</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330000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江西省南昌市红谷滩学府大道899号慧谷科技产业园二期3栋805</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330000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喻洪安</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0791-86636678</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许丽</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喻洪安</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r>
              <w:rPr>
                <w:rFonts w:ascii="宋体"/>
                <w:b/>
                <w:color w:val="000000"/>
                <w:sz w:val="20"/>
                <w:szCs w:val="20"/>
              </w:rPr>
              <w:t>877123938@qq.com</w:t>
            </w:r>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电梯的销售、安装、维护</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02.01.02</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