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成都华谊君羊金属制品有限公司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textAlignment w:val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查《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中华人民共和国固体废物污染环境防治法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中华人民共和国消防法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等法律法规未做到及时更新，不符合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组织应保持其合规义务的文件化信息和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组织应保持和保留有关法律法规要求和其他要求的成文信息，并确保及时更新以反映任何变化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121285</wp:posOffset>
                  </wp:positionV>
                  <wp:extent cx="757555" cy="419735"/>
                  <wp:effectExtent l="0" t="0" r="4445" b="698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16510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10160</wp:posOffset>
                  </wp:positionV>
                  <wp:extent cx="812165" cy="275590"/>
                  <wp:effectExtent l="0" t="0" r="10795" b="13970"/>
                  <wp:wrapNone/>
                  <wp:docPr id="2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F51046"/>
    <w:rsid w:val="41806EF2"/>
    <w:rsid w:val="7B004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2021-06-10T06:40:59Z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FA67AB82BEC441528D1E781570395EE9</vt:lpwstr>
  </property>
</Properties>
</file>