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7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240"/>
        <w:gridCol w:w="1290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成都华谊君羊金属制品有限公司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Q：29.12.00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E：29.12.00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O：29.12.00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Q：29.12.00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E：29.12.00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O：29.12.00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4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Q:29.12.00</w:t>
            </w:r>
          </w:p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sz w:val="20"/>
              </w:rPr>
              <w:t>E:29.12.00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top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eastAsia="zh-CN"/>
              </w:rPr>
              <w:t>销售</w:t>
            </w: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流程：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eastAsia="zh-CN"/>
              </w:rPr>
              <w:t>投标/业务洽谈→签订合同→采购→物资检验→交付</w:t>
            </w: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。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sz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销售为关键过程。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销售产品风险：产品质量不合格、交付不准时，货款回收等风险；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sz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eastAsia="zh-CN"/>
              </w:rPr>
              <w:t>销售过程中火灾、触电伤害风险；业务外出时交通意外伤害风险；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销售过程</w:t>
            </w:r>
            <w:r>
              <w:rPr>
                <w:rFonts w:hint="eastAsia"/>
                <w:b/>
                <w:sz w:val="20"/>
                <w:lang w:eastAsia="zh-CN"/>
              </w:rPr>
              <w:t>、采购过程</w:t>
            </w:r>
            <w:r>
              <w:rPr>
                <w:rFonts w:hint="eastAsia"/>
                <w:b/>
                <w:sz w:val="20"/>
              </w:rPr>
              <w:t>等控制风险，控制措施：人员培训合格上岗，按作业指导书实施。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4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火灾和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eastAsia="zh-CN"/>
              </w:rPr>
              <w:t>固废</w:t>
            </w: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，采取管理方案和应急处理方案控制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不可接受风险的危险源：1）火灾；2）触电；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）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职业病</w:t>
            </w: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控制措施：采取制定管理方案控制，火灾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触电、职业病</w:t>
            </w: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采取应急预案并演练方式进行控制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eastAsia="zh-CN"/>
              </w:rPr>
              <w:t>。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top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中华人民共和国合同法、中华人民共和国劳动法、中华人民共和国安全消防法、中华人民共和国劳动合同法、中华人民共和国产品质量法、中华人民共和国安全生产法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和合同协议等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top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公司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eastAsia="zh-CN"/>
              </w:rPr>
              <w:t>销售的产品</w:t>
            </w:r>
            <w:r>
              <w:rPr>
                <w:rFonts w:hint="eastAsia" w:cs="Times New Roman"/>
                <w:b/>
                <w:sz w:val="20"/>
                <w:lang w:val="en-US" w:eastAsia="zh-CN"/>
              </w:rPr>
              <w:t>按客户合同约定</w:t>
            </w:r>
            <w:bookmarkStart w:id="6" w:name="_GoBack"/>
            <w:bookmarkEnd w:id="6"/>
            <w:r>
              <w:rPr>
                <w:rFonts w:hint="eastAsia" w:cs="Times New Roman"/>
                <w:b/>
                <w:sz w:val="20"/>
                <w:lang w:val="en-US" w:eastAsia="zh-CN"/>
              </w:rPr>
              <w:t>对产品</w:t>
            </w: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外观</w:t>
            </w:r>
            <w:r>
              <w:rPr>
                <w:rFonts w:hint="eastAsia" w:cs="Times New Roman"/>
                <w:b/>
                <w:sz w:val="20"/>
                <w:lang w:val="en-US" w:eastAsia="zh-CN"/>
              </w:rPr>
              <w:t>尺寸</w:t>
            </w: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、</w:t>
            </w:r>
            <w:r>
              <w:rPr>
                <w:rFonts w:hint="eastAsia" w:cs="Times New Roman"/>
                <w:b/>
                <w:sz w:val="20"/>
                <w:lang w:val="en-US" w:eastAsia="zh-CN"/>
              </w:rPr>
              <w:t>颜色/样式</w:t>
            </w: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等进行</w:t>
            </w:r>
            <w:r>
              <w:rPr>
                <w:rFonts w:hint="eastAsia" w:cs="Times New Roman"/>
                <w:b/>
                <w:sz w:val="20"/>
                <w:lang w:val="en-US" w:eastAsia="zh-CN"/>
              </w:rPr>
              <w:t>检验</w:t>
            </w: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；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eastAsia="zh-CN"/>
              </w:rPr>
              <w:t>最终销售产品</w:t>
            </w: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质量由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eastAsia="zh-CN"/>
              </w:rPr>
              <w:t>顾客负责验收。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</w:tbl>
    <w:p>
      <w:pPr>
        <w:snapToGrid w:val="0"/>
        <w:rPr>
          <w:rFonts w:hint="eastAsia" w:ascii="宋体"/>
          <w:b/>
          <w:sz w:val="22"/>
          <w:szCs w:val="22"/>
        </w:rPr>
      </w:pPr>
      <w:r>
        <w:rPr>
          <w:rFonts w:hint="eastAsia" w:eastAsia="宋体"/>
          <w:sz w:val="22"/>
          <w:szCs w:val="22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4120515</wp:posOffset>
            </wp:positionH>
            <wp:positionV relativeFrom="paragraph">
              <wp:posOffset>62865</wp:posOffset>
            </wp:positionV>
            <wp:extent cx="803910" cy="498475"/>
            <wp:effectExtent l="0" t="0" r="3810" b="4445"/>
            <wp:wrapNone/>
            <wp:docPr id="1" name="图片 1" descr="杨珍全电子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杨珍全电子签名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03910" cy="49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eastAsia="宋体"/>
          <w:sz w:val="22"/>
          <w:szCs w:val="22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1237615</wp:posOffset>
            </wp:positionH>
            <wp:positionV relativeFrom="paragraph">
              <wp:posOffset>69215</wp:posOffset>
            </wp:positionV>
            <wp:extent cx="803910" cy="498475"/>
            <wp:effectExtent l="0" t="0" r="3810" b="4445"/>
            <wp:wrapNone/>
            <wp:docPr id="2" name="图片 1" descr="杨珍全电子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杨珍全电子签名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03910" cy="49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rPr>
          <w:rFonts w:hint="default" w:ascii="宋体"/>
          <w:b/>
          <w:sz w:val="22"/>
          <w:szCs w:val="22"/>
          <w:lang w:val="en-US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ascii="宋体"/>
          <w:b/>
          <w:sz w:val="18"/>
          <w:szCs w:val="18"/>
        </w:rPr>
        <w:t xml:space="preserve">   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</w:t>
      </w:r>
      <w:r>
        <w:rPr>
          <w:rFonts w:ascii="宋体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21"/>
          <w:szCs w:val="21"/>
          <w:lang w:val="en-US" w:eastAsia="zh-CN"/>
        </w:rPr>
        <w:t>2021.6.10</w:t>
      </w:r>
      <w:r>
        <w:rPr>
          <w:rFonts w:ascii="宋体"/>
          <w:b/>
          <w:sz w:val="21"/>
          <w:szCs w:val="21"/>
        </w:rPr>
        <w:t xml:space="preserve"> </w:t>
      </w:r>
      <w:r>
        <w:rPr>
          <w:rFonts w:ascii="宋体"/>
          <w:b/>
          <w:sz w:val="22"/>
          <w:szCs w:val="22"/>
        </w:rPr>
        <w:t xml:space="preserve">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</w:t>
      </w:r>
      <w:r>
        <w:rPr>
          <w:rFonts w:ascii="宋体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21"/>
          <w:szCs w:val="21"/>
          <w:lang w:val="en-US" w:eastAsia="zh-CN"/>
        </w:rPr>
        <w:t>2021.6.10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ind w:firstLine="169" w:firstLineChars="100"/>
        <w:rPr>
          <w:rFonts w:hint="eastAsia"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6"/>
      <w:pBdr>
        <w:bottom w:val="none" w:color="auto" w:sz="0" w:space="0"/>
      </w:pBdr>
      <w:spacing w:line="320" w:lineRule="exact"/>
      <w:jc w:val="left"/>
    </w:pPr>
    <w:r>
      <w:pict>
        <v:shape id="文本框 1" o:spid="_x0000_s2050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专业培训记录(03版)</w:t>
                </w:r>
              </w:p>
            </w:txbxContent>
          </v:textbox>
        </v:shape>
      </w:pict>
    </w:r>
    <w:r>
      <w:rPr>
        <w:rStyle w:val="12"/>
        <w:rFonts w:hint="default"/>
      </w:rPr>
      <w:t xml:space="preserve">        </w:t>
    </w:r>
    <w:r>
      <w:rPr>
        <w:rStyle w:val="12"/>
        <w:rFonts w:hint="default"/>
        <w:w w:val="90"/>
      </w:rPr>
      <w:t>Beijing International Standard united Certification Co.,Ltd.</w:t>
    </w:r>
    <w:r>
      <w:rPr>
        <w:rStyle w:val="12"/>
        <w:rFonts w:hint="default"/>
        <w:w w:val="90"/>
        <w:szCs w:val="21"/>
      </w:rPr>
      <w:t xml:space="preserve">  </w:t>
    </w:r>
    <w:r>
      <w:rPr>
        <w:rStyle w:val="12"/>
        <w:rFonts w:hint="default"/>
        <w:w w:val="90"/>
        <w:sz w:val="20"/>
      </w:rPr>
      <w:t xml:space="preserve"> </w:t>
    </w:r>
    <w:r>
      <w:rPr>
        <w:rStyle w:val="12"/>
        <w:rFonts w:hint="default"/>
        <w:w w:val="90"/>
      </w:rPr>
      <w:t xml:space="preserve">                   </w:t>
    </w:r>
  </w:p>
  <w:p>
    <w:pPr>
      <w:pStyle w:val="6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45F2143"/>
    <w:rsid w:val="07BF7205"/>
    <w:rsid w:val="50F61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0" w:semiHidden="0" w:name="Table Grid" w:locked="1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2"/>
    <w:basedOn w:val="1"/>
    <w:qFormat/>
    <w:uiPriority w:val="0"/>
    <w:pPr>
      <w:spacing w:after="120" w:afterLines="0" w:afterAutospacing="0" w:line="480" w:lineRule="auto"/>
    </w:pPr>
  </w:style>
  <w:style w:type="paragraph" w:styleId="4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脚 字符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字符"/>
    <w:link w:val="6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link w:val="4"/>
    <w:semiHidden/>
    <w:uiPriority w:val="99"/>
    <w:rPr>
      <w:rFonts w:ascii="Times New Roman" w:hAnsi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3">
    <w:name w:val="表格文字"/>
    <w:basedOn w:val="1"/>
    <w:qFormat/>
    <w:uiPriority w:val="0"/>
    <w:pPr>
      <w:spacing w:before="25" w:after="25"/>
    </w:pPr>
    <w:rPr>
      <w:bCs/>
      <w:spacing w:val="1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46</Words>
  <Characters>267</Characters>
  <Lines>2</Lines>
  <Paragraphs>1</Paragraphs>
  <TotalTime>4</TotalTime>
  <ScaleCrop>false</ScaleCrop>
  <LinksUpToDate>false</LinksUpToDate>
  <CharactersWithSpaces>312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2021-06-10T23:20:30Z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BE601DCB27AF44D78AA48F97EFE4E0CC</vt:lpwstr>
  </property>
</Properties>
</file>