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剑阁县碗泉乡康绿农业发展有限公司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882"/>
        <w:gridCol w:w="1300"/>
        <w:gridCol w:w="2353"/>
        <w:gridCol w:w="993"/>
        <w:gridCol w:w="850"/>
        <w:gridCol w:w="204"/>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82" w:type="dxa"/>
            <w:vAlign w:val="center"/>
          </w:tcPr>
          <w:p>
            <w:pPr>
              <w:jc w:val="center"/>
              <w:rPr>
                <w:b/>
                <w:sz w:val="21"/>
                <w:szCs w:val="21"/>
              </w:rPr>
            </w:pPr>
            <w:r>
              <w:rPr>
                <w:rFonts w:hint="eastAsia"/>
                <w:b/>
                <w:sz w:val="21"/>
                <w:szCs w:val="21"/>
              </w:rPr>
              <w:t>职务</w:t>
            </w:r>
          </w:p>
        </w:tc>
        <w:tc>
          <w:tcPr>
            <w:tcW w:w="1300" w:type="dxa"/>
            <w:vAlign w:val="center"/>
          </w:tcPr>
          <w:p>
            <w:pPr>
              <w:jc w:val="center"/>
              <w:rPr>
                <w:b/>
                <w:sz w:val="21"/>
                <w:szCs w:val="21"/>
              </w:rPr>
            </w:pPr>
            <w:r>
              <w:rPr>
                <w:rFonts w:hint="eastAsia"/>
                <w:b/>
                <w:sz w:val="21"/>
                <w:szCs w:val="21"/>
              </w:rPr>
              <w:t>注册级别</w:t>
            </w:r>
          </w:p>
        </w:tc>
        <w:tc>
          <w:tcPr>
            <w:tcW w:w="2353" w:type="dxa"/>
            <w:vAlign w:val="center"/>
          </w:tcPr>
          <w:p>
            <w:pPr>
              <w:jc w:val="center"/>
              <w:rPr>
                <w:b/>
                <w:sz w:val="21"/>
                <w:szCs w:val="21"/>
              </w:rPr>
            </w:pPr>
            <w:r>
              <w:rPr>
                <w:rFonts w:hint="eastAsia"/>
                <w:b/>
                <w:sz w:val="21"/>
                <w:szCs w:val="21"/>
              </w:rPr>
              <w:t>审核员注册号</w:t>
            </w:r>
          </w:p>
        </w:tc>
        <w:tc>
          <w:tcPr>
            <w:tcW w:w="2047" w:type="dxa"/>
            <w:gridSpan w:val="3"/>
            <w:vAlign w:val="center"/>
          </w:tcPr>
          <w:p>
            <w:pPr>
              <w:jc w:val="center"/>
              <w:rPr>
                <w:b/>
                <w:sz w:val="21"/>
                <w:szCs w:val="21"/>
              </w:rPr>
            </w:pPr>
            <w:r>
              <w:rPr>
                <w:rFonts w:hint="eastAsia"/>
                <w:b/>
                <w:sz w:val="21"/>
                <w:szCs w:val="21"/>
              </w:rPr>
              <w:t>专业代码</w:t>
            </w:r>
          </w:p>
        </w:tc>
        <w:tc>
          <w:tcPr>
            <w:tcW w:w="1410"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882" w:type="dxa"/>
            <w:vAlign w:val="center"/>
          </w:tcPr>
          <w:p>
            <w:pPr>
              <w:jc w:val="center"/>
              <w:rPr>
                <w:b/>
                <w:sz w:val="21"/>
                <w:szCs w:val="21"/>
              </w:rPr>
            </w:pPr>
            <w:r>
              <w:rPr>
                <w:b/>
                <w:sz w:val="21"/>
                <w:szCs w:val="21"/>
              </w:rPr>
              <w:t>组员</w:t>
            </w:r>
          </w:p>
        </w:tc>
        <w:tc>
          <w:tcPr>
            <w:tcW w:w="130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353" w:type="dxa"/>
            <w:vAlign w:val="center"/>
          </w:tcPr>
          <w:p>
            <w:pPr>
              <w:jc w:val="center"/>
              <w:rPr>
                <w:b/>
                <w:sz w:val="21"/>
                <w:szCs w:val="21"/>
              </w:rPr>
            </w:pPr>
            <w:r>
              <w:rPr>
                <w:b/>
                <w:sz w:val="21"/>
                <w:szCs w:val="21"/>
              </w:rPr>
              <w:t>2019-N1QMS-3093566</w:t>
            </w:r>
          </w:p>
          <w:p>
            <w:pPr>
              <w:jc w:val="center"/>
              <w:rPr>
                <w:b/>
                <w:sz w:val="21"/>
                <w:szCs w:val="21"/>
              </w:rPr>
            </w:pPr>
            <w:r>
              <w:rPr>
                <w:b/>
                <w:sz w:val="21"/>
                <w:szCs w:val="21"/>
              </w:rPr>
              <w:t>2021-N1EMS-3093566</w:t>
            </w:r>
          </w:p>
          <w:p>
            <w:pPr>
              <w:jc w:val="center"/>
              <w:rPr>
                <w:b/>
                <w:sz w:val="21"/>
                <w:szCs w:val="21"/>
              </w:rPr>
            </w:pPr>
            <w:r>
              <w:rPr>
                <w:b/>
                <w:sz w:val="21"/>
                <w:szCs w:val="21"/>
              </w:rPr>
              <w:t>2019-N1OHSMS-2093566</w:t>
            </w:r>
          </w:p>
        </w:tc>
        <w:tc>
          <w:tcPr>
            <w:tcW w:w="2047" w:type="dxa"/>
            <w:gridSpan w:val="3"/>
            <w:vAlign w:val="center"/>
          </w:tcPr>
          <w:p>
            <w:pPr>
              <w:jc w:val="center"/>
              <w:rPr>
                <w:b/>
                <w:sz w:val="21"/>
                <w:szCs w:val="21"/>
              </w:rPr>
            </w:pPr>
            <w:r>
              <w:rPr>
                <w:b/>
                <w:sz w:val="21"/>
                <w:szCs w:val="21"/>
              </w:rPr>
              <w:t>Q:31.04.01,35.16.01,35.17.00</w:t>
            </w:r>
          </w:p>
          <w:p>
            <w:pPr>
              <w:jc w:val="center"/>
              <w:rPr>
                <w:b/>
                <w:sz w:val="21"/>
                <w:szCs w:val="21"/>
              </w:rPr>
            </w:pPr>
            <w:r>
              <w:rPr>
                <w:b/>
                <w:sz w:val="21"/>
                <w:szCs w:val="21"/>
              </w:rPr>
              <w:t>E:31.04.01,35.16.01,35.17.00</w:t>
            </w:r>
          </w:p>
          <w:p>
            <w:pPr>
              <w:jc w:val="center"/>
              <w:rPr>
                <w:b/>
                <w:sz w:val="21"/>
                <w:szCs w:val="21"/>
              </w:rPr>
            </w:pPr>
            <w:r>
              <w:rPr>
                <w:b/>
                <w:sz w:val="21"/>
                <w:szCs w:val="21"/>
              </w:rPr>
              <w:t>O:31.04.01,35.16.01,35.17.00</w:t>
            </w:r>
          </w:p>
        </w:tc>
        <w:tc>
          <w:tcPr>
            <w:tcW w:w="1410"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882" w:type="dxa"/>
            <w:vAlign w:val="center"/>
          </w:tcPr>
          <w:p>
            <w:pPr>
              <w:jc w:val="center"/>
              <w:rPr>
                <w:b/>
                <w:sz w:val="21"/>
                <w:szCs w:val="21"/>
              </w:rPr>
            </w:pPr>
            <w:r>
              <w:rPr>
                <w:b/>
                <w:sz w:val="21"/>
                <w:szCs w:val="21"/>
              </w:rPr>
              <w:t>组员</w:t>
            </w:r>
          </w:p>
        </w:tc>
        <w:tc>
          <w:tcPr>
            <w:tcW w:w="130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353"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2047" w:type="dxa"/>
            <w:gridSpan w:val="3"/>
            <w:vAlign w:val="center"/>
          </w:tcPr>
          <w:p>
            <w:pPr>
              <w:jc w:val="center"/>
              <w:rPr>
                <w:b/>
                <w:sz w:val="21"/>
                <w:szCs w:val="21"/>
              </w:rPr>
            </w:pPr>
          </w:p>
        </w:tc>
        <w:tc>
          <w:tcPr>
            <w:tcW w:w="1410"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882" w:type="dxa"/>
            <w:vAlign w:val="center"/>
          </w:tcPr>
          <w:p>
            <w:pPr>
              <w:jc w:val="center"/>
              <w:rPr>
                <w:b/>
                <w:sz w:val="21"/>
                <w:szCs w:val="21"/>
              </w:rPr>
            </w:pPr>
            <w:r>
              <w:rPr>
                <w:b/>
                <w:sz w:val="21"/>
                <w:szCs w:val="21"/>
              </w:rPr>
              <w:t>组员</w:t>
            </w:r>
          </w:p>
        </w:tc>
        <w:tc>
          <w:tcPr>
            <w:tcW w:w="1300" w:type="dxa"/>
            <w:vAlign w:val="center"/>
          </w:tcPr>
          <w:p>
            <w:pPr>
              <w:jc w:val="center"/>
              <w:rPr>
                <w:b/>
                <w:sz w:val="21"/>
                <w:szCs w:val="21"/>
              </w:rPr>
            </w:pPr>
            <w:r>
              <w:rPr>
                <w:b/>
                <w:sz w:val="21"/>
                <w:szCs w:val="21"/>
              </w:rPr>
              <w:t>Q:审核员</w:t>
            </w:r>
          </w:p>
        </w:tc>
        <w:tc>
          <w:tcPr>
            <w:tcW w:w="2353" w:type="dxa"/>
            <w:vAlign w:val="center"/>
          </w:tcPr>
          <w:p>
            <w:pPr>
              <w:jc w:val="center"/>
              <w:rPr>
                <w:b/>
                <w:sz w:val="21"/>
                <w:szCs w:val="21"/>
              </w:rPr>
            </w:pPr>
            <w:r>
              <w:rPr>
                <w:b/>
                <w:sz w:val="21"/>
                <w:szCs w:val="21"/>
              </w:rPr>
              <w:t>2018-N1QMS-2207381</w:t>
            </w:r>
          </w:p>
        </w:tc>
        <w:tc>
          <w:tcPr>
            <w:tcW w:w="2047" w:type="dxa"/>
            <w:gridSpan w:val="3"/>
            <w:vAlign w:val="center"/>
          </w:tcPr>
          <w:p>
            <w:pPr>
              <w:jc w:val="center"/>
              <w:rPr>
                <w:b/>
                <w:sz w:val="21"/>
                <w:szCs w:val="21"/>
              </w:rPr>
            </w:pPr>
          </w:p>
        </w:tc>
        <w:tc>
          <w:tcPr>
            <w:tcW w:w="1410"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882" w:type="dxa"/>
            <w:vAlign w:val="center"/>
          </w:tcPr>
          <w:p>
            <w:pPr>
              <w:jc w:val="center"/>
              <w:rPr>
                <w:b/>
                <w:sz w:val="21"/>
                <w:szCs w:val="21"/>
              </w:rPr>
            </w:pPr>
            <w:r>
              <w:rPr>
                <w:b/>
                <w:sz w:val="21"/>
                <w:szCs w:val="21"/>
              </w:rPr>
              <w:t>组员</w:t>
            </w:r>
          </w:p>
        </w:tc>
        <w:tc>
          <w:tcPr>
            <w:tcW w:w="130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353"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2047" w:type="dxa"/>
            <w:gridSpan w:val="3"/>
            <w:vAlign w:val="center"/>
          </w:tcPr>
          <w:p>
            <w:pPr>
              <w:jc w:val="center"/>
              <w:rPr>
                <w:b/>
                <w:sz w:val="21"/>
                <w:szCs w:val="21"/>
              </w:rPr>
            </w:pPr>
          </w:p>
        </w:tc>
        <w:tc>
          <w:tcPr>
            <w:tcW w:w="1410" w:type="dxa"/>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882" w:type="dxa"/>
          </w:tcPr>
          <w:p>
            <w:pPr>
              <w:rPr>
                <w:b/>
                <w:sz w:val="21"/>
                <w:szCs w:val="21"/>
              </w:rPr>
            </w:pPr>
          </w:p>
        </w:tc>
        <w:tc>
          <w:tcPr>
            <w:tcW w:w="1300" w:type="dxa"/>
          </w:tcPr>
          <w:p>
            <w:pPr>
              <w:rPr>
                <w:b/>
                <w:sz w:val="21"/>
                <w:szCs w:val="21"/>
              </w:rPr>
            </w:pPr>
          </w:p>
        </w:tc>
        <w:tc>
          <w:tcPr>
            <w:tcW w:w="2353" w:type="dxa"/>
          </w:tcPr>
          <w:p>
            <w:pPr>
              <w:rPr>
                <w:b/>
                <w:sz w:val="21"/>
                <w:szCs w:val="21"/>
              </w:rPr>
            </w:pPr>
          </w:p>
        </w:tc>
        <w:tc>
          <w:tcPr>
            <w:tcW w:w="2047" w:type="dxa"/>
            <w:gridSpan w:val="3"/>
          </w:tcPr>
          <w:p>
            <w:pPr>
              <w:rPr>
                <w:b/>
                <w:sz w:val="21"/>
                <w:szCs w:val="21"/>
              </w:rPr>
            </w:pPr>
          </w:p>
        </w:tc>
        <w:tc>
          <w:tcPr>
            <w:tcW w:w="1410"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82" w:type="dxa"/>
            <w:vAlign w:val="center"/>
          </w:tcPr>
          <w:p>
            <w:pPr>
              <w:jc w:val="center"/>
              <w:rPr>
                <w:b/>
                <w:sz w:val="21"/>
                <w:szCs w:val="21"/>
              </w:rPr>
            </w:pPr>
            <w:r>
              <w:rPr>
                <w:rFonts w:hint="eastAsia"/>
                <w:b/>
                <w:sz w:val="21"/>
                <w:szCs w:val="21"/>
              </w:rPr>
              <w:t>角色</w:t>
            </w:r>
          </w:p>
        </w:tc>
        <w:tc>
          <w:tcPr>
            <w:tcW w:w="7110"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882" w:type="dxa"/>
            <w:vAlign w:val="center"/>
          </w:tcPr>
          <w:p>
            <w:pPr>
              <w:jc w:val="center"/>
              <w:rPr>
                <w:b/>
                <w:sz w:val="21"/>
                <w:szCs w:val="21"/>
              </w:rPr>
            </w:pPr>
          </w:p>
        </w:tc>
        <w:tc>
          <w:tcPr>
            <w:tcW w:w="7110"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82" w:type="dxa"/>
            <w:vAlign w:val="center"/>
          </w:tcPr>
          <w:p>
            <w:pPr>
              <w:jc w:val="center"/>
              <w:rPr>
                <w:b/>
              </w:rPr>
            </w:pPr>
          </w:p>
        </w:tc>
        <w:tc>
          <w:tcPr>
            <w:tcW w:w="7110"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82" w:type="dxa"/>
            <w:vAlign w:val="center"/>
          </w:tcPr>
          <w:p>
            <w:pPr>
              <w:jc w:val="center"/>
              <w:rPr>
                <w:b/>
              </w:rPr>
            </w:pPr>
          </w:p>
        </w:tc>
        <w:tc>
          <w:tcPr>
            <w:tcW w:w="7110"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 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0" w:name="组织名称Add"/>
            <w:r>
              <w:rPr>
                <w:rFonts w:ascii="宋体"/>
                <w:b/>
                <w:color w:val="auto"/>
                <w:sz w:val="21"/>
              </w:rPr>
              <w:t>剑阁县碗泉乡康绿农业发展有限公司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r>
              <w:rPr>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1" w:name="注册地址"/>
            <w:r>
              <w:rPr>
                <w:rFonts w:ascii="宋体"/>
                <w:b/>
                <w:color w:val="auto"/>
                <w:sz w:val="21"/>
              </w:rPr>
              <w:t>剑阁县碗泉乡白兔村三组</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628314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color w:val="auto"/>
                <w:sz w:val="21"/>
              </w:rPr>
            </w:pPr>
            <w:bookmarkStart w:id="13" w:name="生产地址"/>
            <w:r>
              <w:rPr>
                <w:rFonts w:ascii="宋体"/>
                <w:b/>
                <w:color w:val="auto"/>
                <w:sz w:val="21"/>
              </w:rPr>
              <w:t>剑阁县碗泉乡白兔村三组</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628314</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剑阁县碗泉乡白兔村三组</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628314</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马学洋</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18231875050</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李怡莉</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李怡莉</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朱光滨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2021年06月10日 上午至2021年06月10日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b/>
                <w:sz w:val="21"/>
                <w:szCs w:val="21"/>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r>
              <w:rPr>
                <w:rFonts w:hint="eastAsia" w:ascii="宋体" w:hAnsi="宋体"/>
              </w:rPr>
              <w:t>园林绿化、保洁服务，普通道路运输（限许可范围内）</w:t>
            </w:r>
          </w:p>
          <w:p>
            <w:pPr>
              <w:spacing w:line="0" w:lineRule="atLeast"/>
              <w:jc w:val="lef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rFonts w:hint="eastAsia" w:ascii="宋体" w:hAnsi="宋体"/>
              </w:rPr>
              <w:t>园林绿化、保洁服务，普通道路运输（限许可范围内）所涉及场所的相关环境管理活动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rFonts w:hint="eastAsia" w:ascii="宋体" w:hAnsi="宋体"/>
              </w:rPr>
              <w:t>园林绿化、保洁服务，普通道路运输（限许可范围内）所涉及场所的相关职业健康安全管理活动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b/>
                <w:sz w:val="21"/>
                <w:szCs w:val="21"/>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Q：31.04.01;35.16.01;35.17.00</w:t>
            </w:r>
          </w:p>
          <w:p>
            <w:pPr>
              <w:spacing w:line="260" w:lineRule="exact"/>
              <w:rPr>
                <w:rFonts w:ascii="宋体" w:hAnsi="宋体"/>
                <w:b/>
                <w:sz w:val="21"/>
                <w:szCs w:val="21"/>
              </w:rPr>
            </w:pPr>
            <w:r>
              <w:rPr>
                <w:rFonts w:ascii="宋体" w:hAnsi="宋体"/>
                <w:b/>
                <w:sz w:val="21"/>
                <w:szCs w:val="21"/>
              </w:rPr>
              <w:t>E：31.04.01;35.16.01;35.17.00</w:t>
            </w:r>
          </w:p>
          <w:p>
            <w:pPr>
              <w:spacing w:line="260" w:lineRule="exact"/>
              <w:rPr>
                <w:rFonts w:ascii="宋体" w:hAnsi="宋体"/>
                <w:b/>
                <w:sz w:val="21"/>
                <w:szCs w:val="21"/>
              </w:rPr>
            </w:pPr>
            <w:r>
              <w:rPr>
                <w:rFonts w:ascii="宋体" w:hAnsi="宋体"/>
                <w:b/>
                <w:sz w:val="21"/>
                <w:szCs w:val="21"/>
              </w:rPr>
              <w:t>O：31.04.01;35.16.01;35.17.00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rPr>
              <w:t>202</w:t>
            </w:r>
            <w:r>
              <w:rPr>
                <w:rFonts w:hint="eastAsia" w:ascii="宋体" w:hAnsi="宋体"/>
                <w:b/>
                <w:sz w:val="21"/>
                <w:szCs w:val="21"/>
                <w:lang w:val="en-US" w:eastAsia="zh-CN"/>
              </w:rPr>
              <w:t>3</w:t>
            </w:r>
            <w:r>
              <w:rPr>
                <w:rFonts w:hint="eastAsia" w:ascii="宋体" w:hAnsi="宋体"/>
                <w:b/>
                <w:sz w:val="21"/>
                <w:szCs w:val="21"/>
              </w:rPr>
              <w:t xml:space="preserve"> 年 </w:t>
            </w:r>
            <w:r>
              <w:rPr>
                <w:rFonts w:hint="eastAsia" w:ascii="宋体" w:hAnsi="宋体"/>
                <w:b/>
                <w:sz w:val="21"/>
                <w:szCs w:val="21"/>
                <w:lang w:val="en-US" w:eastAsia="zh-CN"/>
              </w:rPr>
              <w:t xml:space="preserve">6 </w:t>
            </w:r>
            <w:r>
              <w:rPr>
                <w:rFonts w:hint="eastAsia" w:ascii="宋体" w:hAnsi="宋体"/>
                <w:b/>
                <w:sz w:val="21"/>
                <w:szCs w:val="21"/>
              </w:rPr>
              <w:t>月2</w:t>
            </w:r>
            <w:r>
              <w:rPr>
                <w:rFonts w:hint="eastAsia" w:ascii="宋体" w:hAnsi="宋体"/>
                <w:b/>
                <w:sz w:val="21"/>
                <w:szCs w:val="21"/>
                <w:lang w:val="en-US" w:eastAsia="zh-CN"/>
              </w:rPr>
              <w:t>7</w:t>
            </w:r>
            <w:r>
              <w:rPr>
                <w:rFonts w:hint="eastAsia" w:ascii="宋体" w:hAnsi="宋体"/>
                <w:b/>
                <w:sz w:val="21"/>
                <w:szCs w:val="21"/>
              </w:rPr>
              <w:t>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rPr>
              <w:t>2020 年 5月25日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本次审核覆盖时间：从上次审核结束日的2020 年 5月25日</w:t>
      </w:r>
      <w:r>
        <w:rPr>
          <w:rFonts w:hint="eastAsia" w:ascii="宋体" w:hAnsi="宋体"/>
          <w:b/>
          <w:sz w:val="21"/>
          <w:szCs w:val="21"/>
          <w:lang w:val="en-US" w:eastAsia="zh-CN"/>
        </w:rPr>
        <w:t>至2021年06月10日。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numPr>
          <w:ilvl w:val="0"/>
          <w:numId w:val="1"/>
        </w:numPr>
        <w:tabs>
          <w:tab w:val="left" w:pos="645"/>
        </w:tabs>
        <w:spacing w:before="326" w:beforeLines="100" w:after="163" w:afterLines="50" w:line="360" w:lineRule="exact"/>
        <w:rPr>
          <w:rFonts w:hint="eastAsia"/>
          <w:b/>
          <w:sz w:val="26"/>
          <w:szCs w:val="26"/>
        </w:rPr>
      </w:pPr>
      <w:r>
        <w:rPr>
          <w:rFonts w:hint="eastAsia"/>
          <w:b/>
          <w:sz w:val="26"/>
          <w:szCs w:val="26"/>
        </w:rPr>
        <w:t>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val="en-US"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pPr>
            <w:r>
              <w:t>3.</w:t>
            </w:r>
            <w:r>
              <w:rPr>
                <w:rFonts w:hint="eastAsia"/>
              </w:rPr>
              <w:t>■质量/■环境/■职业健康安全方针（组织方针的适宜性/持续适宜性、方针的传达及职工的理解等）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pPr>
            <w:r>
              <w:rPr>
                <w:rFonts w:hint="eastAsia"/>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heme="minorEastAsia" w:hAnsiTheme="minorEastAsia" w:eastAsiaTheme="minorEastAsia" w:cstheme="minorEastAsia"/>
                <w:szCs w:val="21"/>
              </w:rPr>
              <w:t>质量、环境、职业健康安全方针：</w:t>
            </w:r>
            <w:r>
              <w:rPr>
                <w:rFonts w:hint="eastAsia" w:ascii="宋体" w:hAnsi="宋体"/>
                <w:szCs w:val="21"/>
              </w:rPr>
              <w:t>“信守合同，交合格工程；持续改进，让用户满意；文明守法，保护环境；预防为主，安全健康”。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rPr>
              <w:t>质量管理体系过程有：</w:t>
            </w:r>
            <w:r>
              <w:rPr>
                <w:rFonts w:hint="eastAsia" w:ascii="宋体" w:hAnsi="宋体"/>
                <w:highlight w:val="none"/>
              </w:rPr>
              <w:t>园林绿化、保洁服务，普通道路运输（限许可范围内）</w:t>
            </w:r>
          </w:p>
          <w:p>
            <w:pPr>
              <w:tabs>
                <w:tab w:val="left" w:pos="540"/>
              </w:tabs>
              <w:spacing w:line="300" w:lineRule="exact"/>
              <w:ind w:left="201" w:hanging="201" w:hangingChars="100"/>
              <w:rPr>
                <w:rFonts w:hint="default" w:ascii="宋体" w:hAnsi="宋体" w:eastAsia="宋体"/>
                <w:b/>
                <w:color w:val="000000" w:themeColor="text1"/>
                <w:sz w:val="20"/>
                <w:szCs w:val="20"/>
                <w:highlight w:val="none"/>
                <w:lang w:val="en-US" w:eastAsia="zh-CN"/>
              </w:rPr>
            </w:pPr>
            <w:r>
              <w:rPr>
                <w:rFonts w:hint="eastAsia" w:ascii="宋体" w:hAnsi="宋体"/>
                <w:b/>
                <w:color w:val="000000" w:themeColor="text1"/>
                <w:sz w:val="20"/>
                <w:szCs w:val="20"/>
                <w:highlight w:val="none"/>
              </w:rPr>
              <w:t>其中关键过程有：</w:t>
            </w:r>
            <w:r>
              <w:rPr>
                <w:rFonts w:hint="eastAsia" w:ascii="宋体" w:hAnsi="宋体"/>
                <w:b/>
                <w:color w:val="000000" w:themeColor="text1"/>
                <w:sz w:val="20"/>
                <w:szCs w:val="20"/>
                <w:highlight w:val="none"/>
                <w:lang w:val="en-US" w:eastAsia="zh-CN"/>
              </w:rPr>
              <w:t>服务过程</w:t>
            </w:r>
          </w:p>
          <w:p>
            <w:pPr>
              <w:tabs>
                <w:tab w:val="left" w:pos="540"/>
              </w:tabs>
              <w:spacing w:line="300" w:lineRule="exact"/>
              <w:ind w:left="201" w:hanging="201" w:hangingChars="100"/>
              <w:rPr>
                <w:rFonts w:hint="default" w:ascii="宋体" w:hAnsi="宋体" w:eastAsia="宋体"/>
                <w:b/>
                <w:color w:val="000000" w:themeColor="text1"/>
                <w:sz w:val="20"/>
                <w:szCs w:val="20"/>
                <w:highlight w:val="none"/>
                <w:u w:val="single"/>
                <w:lang w:val="en-US" w:eastAsia="zh-CN"/>
              </w:rPr>
            </w:pPr>
            <w:r>
              <w:rPr>
                <w:rFonts w:hint="eastAsia" w:ascii="宋体" w:hAnsi="宋体"/>
                <w:b/>
                <w:color w:val="000000" w:themeColor="text1"/>
                <w:sz w:val="20"/>
                <w:szCs w:val="20"/>
                <w:highlight w:val="none"/>
              </w:rPr>
              <w:t xml:space="preserve">需要确认过程： </w:t>
            </w:r>
            <w:r>
              <w:rPr>
                <w:rFonts w:hint="eastAsia" w:ascii="宋体" w:hAnsi="宋体"/>
                <w:b/>
                <w:color w:val="000000" w:themeColor="text1"/>
                <w:sz w:val="20"/>
                <w:szCs w:val="20"/>
                <w:highlight w:val="none"/>
                <w:lang w:val="en-US" w:eastAsia="zh-CN"/>
              </w:rPr>
              <w:t>服务过程</w:t>
            </w:r>
          </w:p>
          <w:p>
            <w:pPr>
              <w:keepNext w:val="0"/>
              <w:keepLines w:val="0"/>
              <w:pageBreakBefore w:val="0"/>
              <w:widowControl w:val="0"/>
              <w:tabs>
                <w:tab w:val="left" w:pos="1080"/>
              </w:tabs>
              <w:kinsoku/>
              <w:wordWrap/>
              <w:overflowPunct/>
              <w:topLinePunct w:val="0"/>
              <w:autoSpaceDE/>
              <w:autoSpaceDN/>
              <w:bidi w:val="0"/>
              <w:adjustRightInd/>
              <w:snapToGrid/>
              <w:spacing w:line="240" w:lineRule="auto"/>
              <w:textAlignment w:val="auto"/>
              <w:rPr>
                <w:rFonts w:ascii="宋体" w:hAnsi="宋体"/>
                <w:b/>
                <w:color w:val="000000" w:themeColor="text1"/>
                <w:szCs w:val="21"/>
              </w:rPr>
            </w:pPr>
            <w:r>
              <w:rPr>
                <w:rFonts w:hint="eastAsia" w:ascii="宋体" w:hAnsi="宋体"/>
                <w:b/>
                <w:color w:val="000000" w:themeColor="text1"/>
                <w:sz w:val="20"/>
                <w:szCs w:val="20"/>
                <w:highlight w:val="none"/>
              </w:rPr>
              <w:t xml:space="preserve">不适用条款是 </w:t>
            </w:r>
            <w:r>
              <w:rPr>
                <w:rFonts w:hint="eastAsia" w:ascii="宋体" w:hAnsi="宋体"/>
                <w:b/>
                <w:color w:val="000000" w:themeColor="text1"/>
                <w:sz w:val="20"/>
                <w:szCs w:val="20"/>
                <w:highlight w:val="none"/>
                <w:u w:val="single"/>
              </w:rPr>
              <w:t xml:space="preserve">8.3  </w:t>
            </w:r>
            <w:r>
              <w:rPr>
                <w:rFonts w:hint="eastAsia" w:ascii="宋体" w:hAnsi="宋体"/>
                <w:b/>
                <w:color w:val="000000" w:themeColor="text1"/>
                <w:sz w:val="20"/>
                <w:szCs w:val="20"/>
                <w:highlight w:val="none"/>
              </w:rPr>
              <w:t xml:space="preserve"> ，不适用理由：</w:t>
            </w:r>
            <w:r>
              <w:rPr>
                <w:rFonts w:hint="eastAsia" w:ascii="宋体" w:hAnsi="宋体" w:eastAsia="宋体" w:cs="Times New Roman"/>
                <w:highlight w:val="none"/>
              </w:rPr>
              <w:t>不适用8.3条款，理由：因本公司按照协议合同进行清洁、园林绿化及垃圾运输，以上服务按法律法规要求及客户合同约定执行，服务模式固定，整个服务过程不涉及</w:t>
            </w:r>
            <w:r>
              <w:rPr>
                <w:rFonts w:hint="eastAsia" w:ascii="宋体" w:hAnsi="宋体" w:eastAsia="宋体" w:cs="Times New Roman"/>
              </w:rPr>
              <w:t>设计开发内容。因此ISO9001:2015标准的8.3“产品和服务的设计和开发”过程不适用于本公司。该条款的不适用不影响为顾客提供满足法律法规及顾客要求的责任。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pStyle w:val="15"/>
              <w:tabs>
                <w:tab w:val="center" w:pos="3169"/>
              </w:tabs>
              <w:spacing w:line="400" w:lineRule="exact"/>
              <w:ind w:firstLine="0" w:firstLineChars="0"/>
              <w:jc w:val="left"/>
              <w:rPr>
                <w:rFonts w:asciiTheme="minorEastAsia" w:hAnsiTheme="minorEastAsia" w:eastAsiaTheme="minorEastAsia"/>
                <w:b/>
                <w:color w:val="000000" w:themeColor="text1"/>
                <w:sz w:val="20"/>
                <w:szCs w:val="20"/>
              </w:rPr>
            </w:pPr>
            <w:r>
              <w:rPr>
                <w:rFonts w:hint="eastAsia" w:ascii="Times New Roman" w:hAnsi="Times New Roman" w:eastAsia="宋体" w:cs="Times New Roman"/>
                <w:kern w:val="2"/>
                <w:sz w:val="24"/>
                <w:szCs w:val="21"/>
                <w:lang w:val="en-US" w:eastAsia="zh-CN" w:bidi="ar-SA"/>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排放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tabs>
                <w:tab w:val="left" w:pos="1080"/>
              </w:tabs>
              <w:spacing w:line="400" w:lineRule="exact"/>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szCs w:val="21"/>
              </w:rPr>
              <w:t>1）火灾；2）触电；3）</w:t>
            </w:r>
            <w:r>
              <w:rPr>
                <w:rFonts w:hint="eastAsia"/>
              </w:rPr>
              <w:t>职业病（含中暑等）；4）物体打击；5）机械伤害</w:t>
            </w:r>
            <w:r>
              <w:rPr>
                <w:rFonts w:hint="eastAsia"/>
                <w:szCs w:val="21"/>
              </w:rPr>
              <w:t>。与之相关的过程有合同评审、方案策划、方案实施、</w:t>
            </w:r>
            <w:r>
              <w:rPr>
                <w:rFonts w:hint="eastAsia" w:ascii="宋体" w:hAnsi="宋体"/>
                <w:color w:val="000000" w:themeColor="text1"/>
              </w:rPr>
              <w:t>交付过程，针对重要危险源制定了管理方案。控制措施实施有效。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5"/>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highlight w:val="yellow"/>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w:t>
            </w:r>
            <w:r>
              <w:rPr>
                <w:rFonts w:hint="eastAsia" w:ascii="宋体" w:hAnsi="宋体"/>
                <w:b/>
                <w:color w:val="000000" w:themeColor="text1"/>
                <w:sz w:val="20"/>
                <w:szCs w:val="20"/>
                <w:highlight w:val="yellow"/>
              </w:rPr>
              <w:t>方法）</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宋体" w:hAnsi="宋体" w:cs="宋体"/>
                <w:color w:val="000000"/>
                <w:kern w:val="0"/>
                <w:szCs w:val="21"/>
                <w:highlight w:val="yellow"/>
                <w:lang w:eastAsia="zh-CN"/>
              </w:rPr>
            </w:pPr>
            <w:r>
              <w:rPr>
                <w:rFonts w:hint="eastAsia" w:ascii="宋体" w:hAnsi="宋体" w:cs="宋体"/>
                <w:color w:val="000000"/>
                <w:kern w:val="0"/>
                <w:szCs w:val="21"/>
                <w:highlight w:val="yellow"/>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kern w:val="0"/>
                <w:szCs w:val="21"/>
                <w:highlight w:val="yellow"/>
                <w:lang w:eastAsia="zh-CN"/>
              </w:rPr>
              <w:t>，</w:t>
            </w:r>
          </w:p>
          <w:p>
            <w:pPr>
              <w:pStyle w:val="2"/>
              <w:keepNext w:val="0"/>
              <w:keepLines w:val="0"/>
              <w:pageBreakBefore w:val="0"/>
              <w:widowControl w:val="0"/>
              <w:kinsoku/>
              <w:wordWrap/>
              <w:overflowPunct/>
              <w:topLinePunct w:val="0"/>
              <w:bidi w:val="0"/>
              <w:snapToGrid/>
              <w:spacing w:line="240" w:lineRule="auto"/>
              <w:textAlignment w:val="auto"/>
              <w:rPr>
                <w:rFonts w:hint="default"/>
                <w:highlight w:val="yellow"/>
                <w:lang w:val="en-US" w:eastAsia="zh-CN"/>
              </w:rPr>
            </w:pPr>
            <w:r>
              <w:rPr>
                <w:rFonts w:hint="eastAsia" w:cs="宋体"/>
                <w:color w:val="000000"/>
                <w:kern w:val="0"/>
                <w:szCs w:val="21"/>
                <w:highlight w:val="yellow"/>
                <w:lang w:val="en-US" w:eastAsia="zh-CN"/>
              </w:rPr>
              <w:t>公司管理目标如下：</w:t>
            </w:r>
          </w:p>
          <w:p>
            <w:pPr>
              <w:pStyle w:val="3"/>
              <w:keepNext w:val="0"/>
              <w:keepLines w:val="0"/>
              <w:pageBreakBefore w:val="0"/>
              <w:widowControl w:val="0"/>
              <w:kinsoku/>
              <w:wordWrap/>
              <w:overflowPunct/>
              <w:topLinePunct w:val="0"/>
              <w:bidi w:val="0"/>
              <w:snapToGrid/>
              <w:spacing w:line="240" w:lineRule="auto"/>
              <w:ind w:right="173" w:rightChars="72"/>
              <w:textAlignment w:val="auto"/>
              <w:rPr>
                <w:color w:val="auto"/>
                <w:szCs w:val="21"/>
                <w:highlight w:val="yellow"/>
              </w:rPr>
            </w:pPr>
            <w:r>
              <w:rPr>
                <w:rFonts w:hint="eastAsia" w:ascii="宋体" w:hAnsi="宋体" w:cs="宋体"/>
                <w:color w:val="000000"/>
                <w:szCs w:val="21"/>
                <w:highlight w:val="yellow"/>
              </w:rPr>
              <w:t>1）</w:t>
            </w:r>
            <w:r>
              <w:rPr>
                <w:rFonts w:hint="eastAsia" w:asciiTheme="minorEastAsia" w:hAnsiTheme="minorEastAsia" w:eastAsiaTheme="minorEastAsia" w:cstheme="minorEastAsia"/>
                <w:color w:val="000000"/>
                <w:szCs w:val="21"/>
                <w:highlight w:val="yellow"/>
              </w:rPr>
              <w:t>工程竣工验收合格率100％；</w:t>
            </w:r>
            <w:r>
              <w:rPr>
                <w:rFonts w:ascii="宋体" w:hAnsi="宋体"/>
                <w:color w:val="auto"/>
                <w:szCs w:val="21"/>
                <w:highlight w:val="yellow"/>
              </w:rPr>
              <w:t xml:space="preserve">    </w:t>
            </w:r>
            <w:r>
              <w:rPr>
                <w:rFonts w:hint="eastAsia" w:ascii="宋体" w:hAnsi="宋体"/>
                <w:color w:val="auto"/>
                <w:szCs w:val="21"/>
                <w:highlight w:val="yellow"/>
              </w:rPr>
              <w:t xml:space="preserve">               </w:t>
            </w:r>
            <w:r>
              <w:rPr>
                <w:rFonts w:ascii="宋体" w:hAnsi="宋体"/>
                <w:color w:val="auto"/>
                <w:szCs w:val="21"/>
                <w:highlight w:val="yellow"/>
              </w:rPr>
              <w:t xml:space="preserve"> </w:t>
            </w:r>
          </w:p>
          <w:p>
            <w:pPr>
              <w:pStyle w:val="17"/>
              <w:keepNext w:val="0"/>
              <w:keepLines w:val="0"/>
              <w:pageBreakBefore w:val="0"/>
              <w:widowControl w:val="0"/>
              <w:kinsoku/>
              <w:wordWrap/>
              <w:overflowPunct/>
              <w:topLinePunct w:val="0"/>
              <w:bidi w:val="0"/>
              <w:snapToGrid/>
              <w:spacing w:line="240" w:lineRule="auto"/>
              <w:textAlignment w:val="auto"/>
              <w:rPr>
                <w:rFonts w:ascii="宋体" w:hAnsi="宋体"/>
                <w:bCs w:val="0"/>
                <w:szCs w:val="21"/>
                <w:highlight w:val="yellow"/>
              </w:rPr>
            </w:pPr>
            <w:r>
              <w:rPr>
                <w:rFonts w:hint="eastAsia" w:ascii="宋体" w:hAnsi="宋体" w:cs="宋体"/>
                <w:color w:val="000000"/>
                <w:szCs w:val="21"/>
                <w:highlight w:val="yellow"/>
              </w:rPr>
              <w:t>2）</w:t>
            </w:r>
            <w:r>
              <w:rPr>
                <w:rFonts w:hint="eastAsia" w:asciiTheme="minorEastAsia" w:hAnsiTheme="minorEastAsia" w:eastAsiaTheme="minorEastAsia" w:cstheme="minorEastAsia"/>
                <w:color w:val="000000"/>
                <w:szCs w:val="21"/>
                <w:highlight w:val="yellow"/>
              </w:rPr>
              <w:t>顾客满意度得分90以上</w:t>
            </w:r>
            <w:r>
              <w:rPr>
                <w:rFonts w:hint="eastAsia" w:asciiTheme="minorEastAsia" w:hAnsiTheme="minorEastAsia" w:eastAsiaTheme="minorEastAsia" w:cstheme="minorEastAsia"/>
                <w:bCs w:val="0"/>
                <w:szCs w:val="21"/>
                <w:highlight w:val="yellow"/>
              </w:rPr>
              <w:t>；</w:t>
            </w:r>
            <w:r>
              <w:rPr>
                <w:rFonts w:ascii="宋体" w:hAnsi="宋体"/>
                <w:bCs w:val="0"/>
                <w:szCs w:val="21"/>
                <w:highlight w:val="yellow"/>
              </w:rPr>
              <w:t xml:space="preserve">             </w:t>
            </w:r>
            <w:r>
              <w:rPr>
                <w:rFonts w:hint="eastAsia" w:ascii="宋体" w:hAnsi="宋体"/>
                <w:bCs w:val="0"/>
                <w:szCs w:val="21"/>
                <w:highlight w:val="yellow"/>
              </w:rPr>
              <w:t xml:space="preserve">    </w:t>
            </w:r>
          </w:p>
          <w:p>
            <w:pPr>
              <w:keepNext w:val="0"/>
              <w:keepLines w:val="0"/>
              <w:pageBreakBefore w:val="0"/>
              <w:widowControl w:val="0"/>
              <w:kinsoku/>
              <w:wordWrap/>
              <w:overflowPunct/>
              <w:topLinePunct w:val="0"/>
              <w:bidi w:val="0"/>
              <w:snapToGrid/>
              <w:spacing w:line="240" w:lineRule="auto"/>
              <w:textAlignment w:val="auto"/>
              <w:rPr>
                <w:szCs w:val="21"/>
                <w:highlight w:val="yellow"/>
              </w:rPr>
            </w:pPr>
            <w:r>
              <w:rPr>
                <w:rFonts w:hint="eastAsia" w:ascii="宋体" w:hAnsi="宋体" w:cs="宋体"/>
                <w:bCs/>
                <w:color w:val="000000"/>
                <w:spacing w:val="10"/>
                <w:szCs w:val="21"/>
                <w:highlight w:val="yellow"/>
              </w:rPr>
              <w:t>3）</w:t>
            </w:r>
            <w:r>
              <w:rPr>
                <w:rFonts w:hint="eastAsia" w:asciiTheme="minorEastAsia" w:hAnsiTheme="minorEastAsia" w:eastAsiaTheme="minorEastAsia" w:cstheme="minorEastAsia"/>
                <w:color w:val="000000"/>
                <w:szCs w:val="21"/>
                <w:highlight w:val="yellow"/>
              </w:rPr>
              <w:t>重大质量、环境、安全事故为0</w:t>
            </w:r>
            <w:r>
              <w:rPr>
                <w:rFonts w:hint="eastAsia" w:ascii="宋体" w:hAnsi="宋体" w:cs="宋体"/>
                <w:kern w:val="0"/>
                <w:szCs w:val="21"/>
                <w:highlight w:val="yellow"/>
              </w:rPr>
              <w:t>；</w:t>
            </w:r>
            <w:r>
              <w:rPr>
                <w:rFonts w:hint="eastAsia"/>
                <w:szCs w:val="21"/>
                <w:highlight w:val="yellow"/>
              </w:rPr>
              <w:t xml:space="preserve">            </w:t>
            </w:r>
          </w:p>
          <w:p>
            <w:pPr>
              <w:keepNext w:val="0"/>
              <w:keepLines w:val="0"/>
              <w:pageBreakBefore w:val="0"/>
              <w:widowControl w:val="0"/>
              <w:kinsoku/>
              <w:wordWrap/>
              <w:overflowPunct/>
              <w:topLinePunct w:val="0"/>
              <w:bidi w:val="0"/>
              <w:snapToGrid/>
              <w:spacing w:line="240" w:lineRule="auto"/>
              <w:jc w:val="left"/>
              <w:textAlignment w:val="auto"/>
              <w:rPr>
                <w:szCs w:val="21"/>
                <w:highlight w:val="yellow"/>
              </w:rPr>
            </w:pPr>
            <w:r>
              <w:rPr>
                <w:rFonts w:hint="eastAsia" w:ascii="宋体" w:hAnsi="宋体" w:cs="宋体"/>
                <w:bCs/>
                <w:color w:val="000000"/>
                <w:spacing w:val="10"/>
                <w:szCs w:val="21"/>
                <w:highlight w:val="yellow"/>
              </w:rPr>
              <w:t>4）</w:t>
            </w:r>
            <w:r>
              <w:rPr>
                <w:rFonts w:hint="eastAsia" w:ascii="宋体" w:hAnsi="宋体"/>
                <w:bCs/>
                <w:szCs w:val="21"/>
                <w:highlight w:val="yellow"/>
              </w:rPr>
              <w:t>固废综合处理率100％</w:t>
            </w:r>
            <w:r>
              <w:rPr>
                <w:rFonts w:hint="eastAsia" w:asciiTheme="minorEastAsia" w:hAnsiTheme="minorEastAsia" w:eastAsiaTheme="minorEastAsia" w:cstheme="minorEastAsia"/>
                <w:szCs w:val="21"/>
                <w:highlight w:val="yellow"/>
              </w:rPr>
              <w:t>；</w:t>
            </w:r>
            <w:r>
              <w:rPr>
                <w:szCs w:val="21"/>
                <w:highlight w:val="yellow"/>
              </w:rPr>
              <w:t xml:space="preserve">                   </w:t>
            </w:r>
            <w:r>
              <w:rPr>
                <w:rFonts w:hint="eastAsia"/>
                <w:szCs w:val="21"/>
                <w:highlight w:val="yellow"/>
              </w:rPr>
              <w:t xml:space="preserve">   </w:t>
            </w:r>
          </w:p>
          <w:p>
            <w:pPr>
              <w:pStyle w:val="17"/>
              <w:keepNext w:val="0"/>
              <w:keepLines w:val="0"/>
              <w:pageBreakBefore w:val="0"/>
              <w:widowControl w:val="0"/>
              <w:kinsoku/>
              <w:wordWrap/>
              <w:overflowPunct/>
              <w:topLinePunct w:val="0"/>
              <w:bidi w:val="0"/>
              <w:snapToGrid/>
              <w:spacing w:line="240" w:lineRule="auto"/>
              <w:textAlignment w:val="auto"/>
              <w:rPr>
                <w:rFonts w:ascii="宋体" w:hAnsi="宋体"/>
                <w:b/>
                <w:color w:val="000000" w:themeColor="text1"/>
              </w:rPr>
            </w:pPr>
            <w:r>
              <w:rPr>
                <w:rFonts w:hint="eastAsia" w:ascii="宋体" w:hAnsi="宋体" w:cs="宋体"/>
                <w:color w:val="000000"/>
                <w:szCs w:val="21"/>
                <w:highlight w:val="yellow"/>
              </w:rPr>
              <w:t>5）</w:t>
            </w:r>
            <w:r>
              <w:rPr>
                <w:rFonts w:hint="eastAsia" w:ascii="宋体" w:hAnsi="宋体"/>
                <w:szCs w:val="21"/>
                <w:highlight w:val="yellow"/>
              </w:rPr>
              <w:t>火灾发生率为0</w:t>
            </w:r>
            <w:r>
              <w:rPr>
                <w:rFonts w:hint="eastAsia" w:asciiTheme="minorEastAsia" w:hAnsiTheme="minorEastAsia" w:eastAsiaTheme="minorEastAsia" w:cstheme="minorEastAsia"/>
                <w:bCs w:val="0"/>
                <w:szCs w:val="21"/>
                <w:highlight w:val="yellow"/>
              </w:rPr>
              <w:t>；</w:t>
            </w:r>
            <w:r>
              <w:rPr>
                <w:bCs w:val="0"/>
                <w:szCs w:val="21"/>
                <w:highlight w:val="yellow"/>
              </w:rPr>
              <w:t xml:space="preserve"> </w:t>
            </w:r>
            <w:r>
              <w:rPr>
                <w:rFonts w:hint="eastAsia"/>
                <w:bCs w:val="0"/>
                <w:szCs w:val="21"/>
                <w:highlight w:val="yellow"/>
              </w:rPr>
              <w:t xml:space="preserve"> </w:t>
            </w:r>
            <w:r>
              <w:rPr>
                <w:rFonts w:hint="eastAsia"/>
                <w:bCs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12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rPr>
                <w:rFonts w:ascii="宋体" w:hAnsi="宋体"/>
                <w:bCs/>
                <w:iCs/>
                <w:szCs w:val="21"/>
              </w:rPr>
            </w:pPr>
            <w:r>
              <w:rPr>
                <w:rFonts w:hint="eastAsia" w:ascii="宋体" w:hAnsi="宋体"/>
                <w:bCs/>
                <w:iCs/>
              </w:rPr>
              <w:t>组</w:t>
            </w:r>
            <w:r>
              <w:rPr>
                <w:rFonts w:hint="eastAsia" w:ascii="宋体" w:hAnsi="宋体"/>
                <w:bCs/>
                <w:iCs/>
                <w:szCs w:val="22"/>
              </w:rPr>
              <w:t>织按管理体系</w:t>
            </w:r>
            <w:r>
              <w:rPr>
                <w:rFonts w:hint="eastAsia" w:ascii="宋体" w:hAnsi="宋体"/>
                <w:bCs/>
                <w:iCs/>
                <w:szCs w:val="21"/>
              </w:rPr>
              <w:t>需求配置了充足的人员、设施、监视和测量设备等资源，并建立维持了</w:t>
            </w:r>
            <w:r>
              <w:rPr>
                <w:szCs w:val="21"/>
              </w:rPr>
              <w:t>园林绿化、保洁服务，普通道路运输（限许可范围内）</w:t>
            </w:r>
            <w:r>
              <w:rPr>
                <w:rFonts w:hint="eastAsia" w:ascii="宋体" w:hAnsi="宋体"/>
                <w:szCs w:val="21"/>
              </w:rPr>
              <w:t>的</w:t>
            </w:r>
            <w:r>
              <w:rPr>
                <w:rFonts w:hint="eastAsia" w:ascii="宋体" w:hAnsi="宋体"/>
                <w:bCs/>
                <w:iCs/>
                <w:szCs w:val="21"/>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ascii="宋体" w:hAnsi="宋体"/>
                <w:b/>
                <w:color w:val="000000" w:themeColor="text1"/>
                <w:sz w:val="20"/>
                <w:szCs w:val="20"/>
              </w:rPr>
            </w:pPr>
            <w:r>
              <w:rPr>
                <w:rFonts w:hint="eastAsia" w:ascii="宋体" w:hAnsi="宋体"/>
                <w:szCs w:val="21"/>
              </w:rPr>
              <w:t>公司拥有办公面积200平方米</w:t>
            </w:r>
            <w:r>
              <w:rPr>
                <w:rFonts w:hint="eastAsia" w:ascii="宋体" w:hAnsi="宋体" w:cs="宋体"/>
                <w:szCs w:val="21"/>
              </w:rPr>
              <w:t>，设有面积50平方米的库房，主要设备为主要设备办公设备、电脑、装载运输车、垃圾车</w:t>
            </w:r>
            <w:r>
              <w:rPr>
                <w:rStyle w:val="18"/>
                <w:rFonts w:hint="eastAsia" w:ascii="宋体" w:hAnsi="宋体"/>
                <w:color w:val="auto"/>
                <w:szCs w:val="21"/>
              </w:rPr>
              <w:t>、清扫车、剪草机、打药机等</w:t>
            </w:r>
            <w:r>
              <w:rPr>
                <w:rFonts w:hint="eastAsia" w:ascii="宋体" w:hAnsi="宋体" w:cs="宋体"/>
                <w:szCs w:val="21"/>
              </w:rPr>
              <w:t>，可以满足</w:t>
            </w:r>
            <w:r>
              <w:rPr>
                <w:szCs w:val="21"/>
              </w:rPr>
              <w:t>园林绿化、保洁服务，普通道路运输（限许可范围内）</w:t>
            </w:r>
            <w:r>
              <w:rPr>
                <w:rFonts w:hint="eastAsia" w:ascii="宋体" w:hAnsi="宋体"/>
                <w:szCs w:val="21"/>
              </w:rPr>
              <w:t>的</w:t>
            </w:r>
            <w:r>
              <w:rPr>
                <w:rFonts w:hint="eastAsia" w:ascii="宋体" w:hAnsi="宋体" w:cs="宋体"/>
                <w:szCs w:val="21"/>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办公所场设备布置合理，通道畅通，照明设施齐全，均配备了消防设施等设施。办公室明亮，服务场所光线较充足。每月由综合管理部对工作环境进行定期检查。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lang w:eastAsia="zh-CN"/>
              </w:rPr>
            </w:pPr>
            <w:r>
              <w:rPr>
                <w:rFonts w:hint="eastAsia" w:ascii="宋体" w:hAnsi="宋体" w:cs="宋体"/>
                <w:szCs w:val="21"/>
              </w:rPr>
              <w:t>查保洁、绿化及垃圾运输服务质量验收的检查主要按感官进行检查，绿化服务配置有钢卷尺，精度要求不高，采购带CMC标识检具，损坏后直接更换，不送检校准；垃圾运输的计量通过第三方地磅进行称量</w:t>
            </w:r>
            <w:bookmarkStart w:id="27" w:name="_GoBack"/>
            <w:bookmarkEnd w:id="27"/>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hint="eastAsia" w:ascii="宋体" w:hAnsi="宋体" w:eastAsia="宋体"/>
                <w:sz w:val="20"/>
                <w:szCs w:val="20"/>
                <w:lang w:val="en-US" w:eastAsia="zh-CN"/>
              </w:rPr>
            </w:pPr>
            <w:r>
              <w:rPr>
                <w:rFonts w:hint="eastAsia" w:ascii="宋体" w:hAnsi="宋体" w:cs="宋体"/>
                <w:color w:val="000000"/>
                <w:szCs w:val="21"/>
              </w:rPr>
              <w:t>消防栓、灭火器</w:t>
            </w:r>
            <w:r>
              <w:rPr>
                <w:rFonts w:hint="eastAsia" w:ascii="宋体" w:hAnsi="宋体" w:cs="宋体"/>
                <w:color w:val="000000"/>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cs="宋体"/>
                <w:color w:val="000000"/>
                <w:szCs w:val="21"/>
              </w:rPr>
              <w:t>配电箱、灭火器等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60" w:firstLineChars="150"/>
              <w:rPr>
                <w:b/>
                <w:color w:val="000000" w:themeColor="text1"/>
                <w:sz w:val="20"/>
                <w:szCs w:val="20"/>
              </w:rPr>
            </w:pPr>
            <w:r>
              <w:rPr>
                <w:rFonts w:hint="eastAsia" w:ascii="宋体" w:hAnsi="宋体" w:cs="宋体"/>
                <w:color w:val="000000"/>
                <w:szCs w:val="21"/>
              </w:rPr>
              <w:t>组织重要环境因素为1）固废排放；2）潜在火灾；3）粉尘排放；4）噪声排放；5）水/电等能源浪费，需要应对的风险和机遇相关的过程为维保服务过程，建立了控制过程的识别、策划控制程序，控制措施实施有效性（包括组织自身的污染预防控制及对相关方的控制）；组织在运行策划时，基于产品生命周期的思维，识别了整个过程的环境影响。具体控制措施，包括：固废（含危险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60" w:firstLineChars="150"/>
              <w:rPr>
                <w:rFonts w:hint="eastAsia" w:ascii="宋体" w:hAnsi="宋体" w:cs="宋体"/>
                <w:color w:val="000000"/>
                <w:szCs w:val="21"/>
              </w:rPr>
            </w:pPr>
            <w:r>
              <w:rPr>
                <w:rFonts w:hint="eastAsia" w:ascii="宋体" w:hAnsi="宋体" w:cs="宋体"/>
                <w:color w:val="000000"/>
                <w:szCs w:val="21"/>
              </w:rPr>
              <w:t>组织建立了危险源识别、评价控制程序，识别评价了危险源、风险相关的过程，评价出了1）火灾；2）触电；3）职业病（含中暑等）；4）物体打击；5）机械伤害等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20"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年1月-</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20" w:leftChars="50" w:firstLine="360"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月实施，满意度评价96分，总体实现了顾客满意度的质量目标要求。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 内审（</w:t>
            </w:r>
            <w:r>
              <w:rPr>
                <w:rFonts w:hint="eastAsia"/>
                <w:b/>
                <w:color w:val="000000" w:themeColor="text1"/>
                <w:sz w:val="20"/>
                <w:szCs w:val="20"/>
                <w:highlight w:val="none"/>
              </w:rPr>
              <w:t>包括内审策划审核方案中考虑拟审核的过程和区域的状况和重要性）</w:t>
            </w:r>
          </w:p>
          <w:p>
            <w:pPr>
              <w:spacing w:line="240" w:lineRule="exact"/>
              <w:rPr>
                <w:b/>
                <w:color w:val="FF0000"/>
                <w:sz w:val="20"/>
                <w:szCs w:val="20"/>
              </w:rPr>
            </w:pPr>
            <w:r>
              <w:rPr>
                <w:rFonts w:hint="eastAsia" w:ascii="宋体" w:hAnsi="宋体"/>
                <w:szCs w:val="21"/>
                <w:highlight w:val="none"/>
              </w:rPr>
              <w:t>建立有《内部审核控制程序》，规定了内审频次一年一次，内审时间：</w:t>
            </w:r>
            <w:r>
              <w:rPr>
                <w:rFonts w:hint="eastAsia" w:ascii="宋体" w:hAnsi="宋体" w:eastAsia="宋体" w:cs="宋体"/>
                <w:szCs w:val="21"/>
                <w:highlight w:val="none"/>
              </w:rPr>
              <w:t>2021年3月4日至3月5日</w:t>
            </w:r>
            <w:r>
              <w:rPr>
                <w:rFonts w:hint="eastAsia" w:ascii="宋体" w:hAnsi="宋体"/>
                <w:szCs w:val="21"/>
                <w:highlight w:val="none"/>
              </w:rPr>
              <w:t>，拟定了审核实施表，明确了内审范围，内审人员经培训合格上岗，能力满足要求，未出现审核本部门情况，内审不符合项1项，</w:t>
            </w:r>
            <w:r>
              <w:rPr>
                <w:rFonts w:hint="eastAsia" w:ascii="宋体" w:hAnsi="宋体" w:eastAsia="宋体" w:cs="宋体"/>
                <w:szCs w:val="21"/>
                <w:highlight w:val="none"/>
              </w:rPr>
              <w:t>涉及行政部Q/E/S7.</w:t>
            </w:r>
            <w:r>
              <w:rPr>
                <w:rFonts w:hint="eastAsia" w:ascii="宋体" w:hAnsi="宋体" w:eastAsia="宋体" w:cs="宋体"/>
                <w:szCs w:val="21"/>
                <w:highlight w:val="none"/>
                <w:lang w:val="en-US" w:eastAsia="zh-CN"/>
              </w:rPr>
              <w:t>5.3</w:t>
            </w:r>
            <w:r>
              <w:rPr>
                <w:rFonts w:hint="eastAsia" w:ascii="宋体" w:hAnsi="宋体" w:eastAsia="宋体" w:cs="宋体"/>
                <w:szCs w:val="21"/>
                <w:highlight w:val="none"/>
              </w:rPr>
              <w:t>条款未及时更新法律法规清单</w:t>
            </w:r>
            <w:r>
              <w:rPr>
                <w:rFonts w:hint="eastAsia" w:ascii="宋体" w:hAnsi="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w:t>
            </w:r>
            <w:r>
              <w:rPr>
                <w:rFonts w:hint="eastAsia" w:ascii="宋体" w:hAnsi="宋体" w:cs="宋体"/>
                <w:szCs w:val="21"/>
                <w:highlight w:val="none"/>
              </w:rPr>
              <w:t>管理评审于</w:t>
            </w:r>
            <w:r>
              <w:rPr>
                <w:rFonts w:hint="eastAsia" w:ascii="宋体" w:hAnsi="宋体" w:eastAsia="宋体" w:cs="宋体"/>
                <w:szCs w:val="21"/>
                <w:highlight w:val="none"/>
              </w:rPr>
              <w:t>2021年3月24日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w:t>
            </w:r>
            <w:r>
              <w:rPr>
                <w:rFonts w:hint="eastAsia" w:ascii="宋体" w:hAnsi="宋体" w:cs="宋体"/>
                <w:szCs w:val="21"/>
              </w:rPr>
              <w:t>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lang w:val="en-US" w:eastAsia="zh-CN"/>
              </w:rPr>
              <w:t>4</w:t>
            </w:r>
            <w:r>
              <w:rPr>
                <w:rFonts w:hint="eastAsia"/>
                <w:b/>
                <w:color w:val="000000" w:themeColor="text1"/>
                <w:szCs w:val="21"/>
              </w:rPr>
              <w:t>. 上次不符合的整改情况（再认证填写）</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上次不符合标准S6.2条款，经本次验证未出现同类情况发生。</w:t>
            </w:r>
          </w:p>
        </w:tc>
      </w:tr>
    </w:tbl>
    <w:p>
      <w:pPr>
        <w:numPr>
          <w:ilvl w:val="0"/>
          <w:numId w:val="0"/>
        </w:numPr>
        <w:tabs>
          <w:tab w:val="left" w:pos="645"/>
        </w:tabs>
        <w:spacing w:before="326" w:beforeLines="100" w:after="163" w:afterLines="50" w:line="360" w:lineRule="exact"/>
        <w:rPr>
          <w:rFonts w:hint="eastAsia"/>
          <w:b/>
          <w:sz w:val="26"/>
          <w:szCs w:val="26"/>
        </w:rPr>
      </w:pPr>
    </w:p>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70" w:firstLineChars="223"/>
        <w:rPr>
          <w:rFonts w:ascii="宋体"/>
          <w:b/>
          <w:szCs w:val="21"/>
        </w:rPr>
      </w:pPr>
      <w:r>
        <w:rPr>
          <w:rFonts w:hint="eastAsia"/>
          <w:b/>
          <w:sz w:val="21"/>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b/>
                <w:sz w:val="21"/>
                <w:szCs w:val="21"/>
              </w:rPr>
              <w:t>■</w:t>
            </w:r>
            <w:r>
              <w:rPr>
                <w:rFonts w:ascii="宋体" w:hAnsi="宋体"/>
                <w:b/>
                <w:szCs w:val="21"/>
              </w:rPr>
              <w:t>QMS</w:t>
            </w:r>
            <w:r>
              <w:rPr>
                <w:rFonts w:hint="eastAsia" w:ascii="宋体" w:hAnsi="宋体"/>
                <w:b/>
                <w:szCs w:val="21"/>
              </w:rPr>
              <w:t>□50430</w:t>
            </w:r>
            <w:r>
              <w:rPr>
                <w:rFonts w:hint="eastAsia"/>
                <w:b/>
                <w:sz w:val="21"/>
                <w:szCs w:val="21"/>
              </w:rPr>
              <w:t>■</w:t>
            </w:r>
            <w:r>
              <w:rPr>
                <w:rFonts w:ascii="宋体" w:hAnsi="宋体"/>
                <w:b/>
                <w:szCs w:val="21"/>
              </w:rPr>
              <w:t xml:space="preserve">EMS  </w:t>
            </w:r>
            <w:r>
              <w:rPr>
                <w:rFonts w:hint="eastAsia"/>
                <w:b/>
                <w:sz w:val="21"/>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16" w:firstLineChars="150"/>
              <w:rPr>
                <w:rFonts w:ascii="宋体" w:hAnsi="宋体"/>
                <w:b/>
                <w:szCs w:val="21"/>
              </w:rPr>
            </w:pPr>
            <w:r>
              <w:rPr>
                <w:rFonts w:hint="eastAsia"/>
                <w:b/>
                <w:sz w:val="21"/>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b/>
                <w:sz w:val="21"/>
                <w:szCs w:val="21"/>
              </w:rPr>
              <w:t>■</w:t>
            </w:r>
            <w:r>
              <w:rPr>
                <w:rFonts w:ascii="宋体" w:hAnsi="宋体"/>
                <w:b/>
                <w:szCs w:val="21"/>
              </w:rPr>
              <w:t>QMS</w:t>
            </w:r>
            <w:r>
              <w:rPr>
                <w:rFonts w:hint="eastAsia" w:ascii="宋体" w:hAnsi="宋体"/>
                <w:b/>
                <w:szCs w:val="21"/>
              </w:rPr>
              <w:t>□50430</w:t>
            </w:r>
            <w:r>
              <w:rPr>
                <w:rFonts w:hint="eastAsia"/>
                <w:b/>
                <w:sz w:val="21"/>
                <w:szCs w:val="21"/>
              </w:rPr>
              <w:t>■</w:t>
            </w:r>
            <w:r>
              <w:rPr>
                <w:rFonts w:ascii="宋体" w:hAnsi="宋体"/>
                <w:b/>
                <w:szCs w:val="21"/>
              </w:rPr>
              <w:t>EMS</w:t>
            </w:r>
            <w:r>
              <w:rPr>
                <w:rFonts w:hint="eastAsia"/>
                <w:b/>
                <w:sz w:val="21"/>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1695450</wp:posOffset>
            </wp:positionH>
            <wp:positionV relativeFrom="paragraph">
              <wp:posOffset>257810</wp:posOffset>
            </wp:positionV>
            <wp:extent cx="306705" cy="284480"/>
            <wp:effectExtent l="0" t="0" r="17145" b="1270"/>
            <wp:wrapNone/>
            <wp:docPr id="10" name="图片 10"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5e69cce4380e02713697e955d1ffd9"/>
                    <pic:cNvPicPr>
                      <a:picLocks noChangeAspect="1"/>
                    </pic:cNvPicPr>
                  </pic:nvPicPr>
                  <pic:blipFill>
                    <a:blip r:embed="rId6"/>
                    <a:stretch>
                      <a:fillRect/>
                    </a:stretch>
                  </pic:blipFill>
                  <pic:spPr>
                    <a:xfrm>
                      <a:off x="0" y="0"/>
                      <a:ext cx="306705" cy="28448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rPr>
          <w:sz w:val="24"/>
        </w:rPr>
        <w:drawing>
          <wp:anchor distT="0" distB="0" distL="114300" distR="114300" simplePos="0" relativeHeight="251661312" behindDoc="0" locked="0" layoutInCell="1" allowOverlap="1">
            <wp:simplePos x="0" y="0"/>
            <wp:positionH relativeFrom="column">
              <wp:posOffset>2756535</wp:posOffset>
            </wp:positionH>
            <wp:positionV relativeFrom="paragraph">
              <wp:posOffset>30480</wp:posOffset>
            </wp:positionV>
            <wp:extent cx="480695" cy="347345"/>
            <wp:effectExtent l="0" t="0" r="14605" b="14605"/>
            <wp:wrapNone/>
            <wp:docPr id="12" name="图片 12"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24309\AppData\Local\Temp\WeChat Files\5990baca09647c352f1321b31faa90a.jpg"/>
                    <pic:cNvPicPr>
                      <a:picLocks noChangeAspect="1"/>
                    </pic:cNvPicPr>
                  </pic:nvPicPr>
                  <pic:blipFill>
                    <a:blip r:embed="rId7"/>
                    <a:stretch>
                      <a:fillRect/>
                    </a:stretch>
                  </pic:blipFill>
                  <pic:spPr>
                    <a:xfrm>
                      <a:off x="0" y="0"/>
                      <a:ext cx="480695" cy="34734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2321560</wp:posOffset>
            </wp:positionH>
            <wp:positionV relativeFrom="paragraph">
              <wp:posOffset>62865</wp:posOffset>
            </wp:positionV>
            <wp:extent cx="368935" cy="259080"/>
            <wp:effectExtent l="0" t="0" r="12065" b="6985"/>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8"/>
                    <a:stretch>
                      <a:fillRect/>
                    </a:stretch>
                  </pic:blipFill>
                  <pic:spPr>
                    <a:xfrm>
                      <a:off x="0" y="0"/>
                      <a:ext cx="368935" cy="259080"/>
                    </a:xfrm>
                    <a:prstGeom prst="rect">
                      <a:avLst/>
                    </a:prstGeom>
                    <a:noFill/>
                    <a:ln>
                      <a:noFill/>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1896745</wp:posOffset>
            </wp:positionH>
            <wp:positionV relativeFrom="paragraph">
              <wp:posOffset>62230</wp:posOffset>
            </wp:positionV>
            <wp:extent cx="364490" cy="276225"/>
            <wp:effectExtent l="0" t="0" r="16510" b="9525"/>
            <wp:wrapNone/>
            <wp:docPr id="11"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C:\Users\Administrator\Desktop\签名.jpg"/>
                    <pic:cNvPicPr>
                      <a:picLocks noChangeAspect="1"/>
                    </pic:cNvPicPr>
                  </pic:nvPicPr>
                  <pic:blipFill>
                    <a:blip r:embed="rId9"/>
                    <a:stretch>
                      <a:fillRect/>
                    </a:stretch>
                  </pic:blipFill>
                  <pic:spPr>
                    <a:xfrm>
                      <a:off x="0" y="0"/>
                      <a:ext cx="364490" cy="27622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2021年06月10日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0" w:firstLineChars="343"/>
        <w:rPr>
          <w:rFonts w:hint="default" w:eastAsia="宋体"/>
          <w:b/>
          <w:sz w:val="21"/>
          <w:szCs w:val="21"/>
          <w:u w:val="single"/>
          <w:lang w:val="en-US" w:eastAsia="zh-CN"/>
        </w:rPr>
      </w:pPr>
      <w:r>
        <w:rPr>
          <w:rFonts w:hint="eastAsia" w:ascii="宋体" w:hAnsi="宋体" w:eastAsia="宋体" w:cs="Times New Roman"/>
          <w:kern w:val="2"/>
          <w:sz w:val="21"/>
          <w:szCs w:val="22"/>
          <w:lang w:val="en-US" w:eastAsia="zh-CN" w:bidi="ar-SA"/>
        </w:rPr>
        <w:drawing>
          <wp:anchor distT="0" distB="0" distL="114300" distR="114300" simplePos="0" relativeHeight="251664384" behindDoc="0" locked="0" layoutInCell="1" allowOverlap="1">
            <wp:simplePos x="0" y="0"/>
            <wp:positionH relativeFrom="column">
              <wp:posOffset>1155700</wp:posOffset>
            </wp:positionH>
            <wp:positionV relativeFrom="paragraph">
              <wp:posOffset>24765</wp:posOffset>
            </wp:positionV>
            <wp:extent cx="306705" cy="284480"/>
            <wp:effectExtent l="0" t="0" r="17145" b="1270"/>
            <wp:wrapNone/>
            <wp:docPr id="1" name="图片 1"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e69cce4380e02713697e955d1ffd9"/>
                    <pic:cNvPicPr>
                      <a:picLocks noChangeAspect="1"/>
                    </pic:cNvPicPr>
                  </pic:nvPicPr>
                  <pic:blipFill>
                    <a:blip r:embed="rId6"/>
                    <a:stretch>
                      <a:fillRect/>
                    </a:stretch>
                  </pic:blipFill>
                  <pic:spPr>
                    <a:xfrm>
                      <a:off x="0" y="0"/>
                      <a:ext cx="306705" cy="284480"/>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w:t>
      </w:r>
      <w:r>
        <w:rPr>
          <w:rFonts w:hint="eastAsia"/>
          <w:b/>
          <w:sz w:val="21"/>
          <w:lang w:val="en-US" w:eastAsia="zh-CN"/>
        </w:rPr>
        <w:t>2021年06月13日</w:t>
      </w:r>
    </w:p>
    <w:p>
      <w:pPr>
        <w:numPr>
          <w:ilvl w:val="0"/>
          <w:numId w:val="3"/>
        </w:numPr>
        <w:ind w:left="783" w:hanging="783" w:hangingChars="300"/>
      </w:pP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pStyle w:val="2"/>
        <w:rPr>
          <w:b/>
          <w:sz w:val="26"/>
          <w:szCs w:val="26"/>
        </w:rPr>
      </w:pP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w:t>
      </w:r>
      <w:r>
        <w:rPr>
          <w:rFonts w:hint="eastAsia"/>
          <w:b/>
          <w:sz w:val="21"/>
          <w:lang w:val="en-US" w:eastAsia="zh-CN"/>
        </w:rPr>
        <w:t xml:space="preserve"> </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EBC53"/>
    <w:multiLevelType w:val="singleLevel"/>
    <w:tmpl w:val="1A7EBC53"/>
    <w:lvl w:ilvl="0" w:tentative="0">
      <w:start w:val="14"/>
      <w:numFmt w:val="chineseCounting"/>
      <w:suff w:val="nothing"/>
      <w:lvlText w:val="%1、"/>
      <w:lvlJc w:val="left"/>
      <w:rPr>
        <w:rFonts w:hint="eastAsia"/>
      </w:rPr>
    </w:lvl>
  </w:abstractNum>
  <w:abstractNum w:abstractNumId="1">
    <w:nsid w:val="2358C9D9"/>
    <w:multiLevelType w:val="singleLevel"/>
    <w:tmpl w:val="2358C9D9"/>
    <w:lvl w:ilvl="0" w:tentative="0">
      <w:start w:val="6"/>
      <w:numFmt w:val="chineseCounting"/>
      <w:suff w:val="nothing"/>
      <w:lvlText w:val="%1、"/>
      <w:lvlJc w:val="left"/>
      <w:rPr>
        <w:rFonts w:hint="eastAsia"/>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2448F6"/>
    <w:rsid w:val="013067DD"/>
    <w:rsid w:val="01E86F79"/>
    <w:rsid w:val="021317C0"/>
    <w:rsid w:val="03103E68"/>
    <w:rsid w:val="09613683"/>
    <w:rsid w:val="0AB50B83"/>
    <w:rsid w:val="0B5017E2"/>
    <w:rsid w:val="0C0C26B5"/>
    <w:rsid w:val="0DD17E34"/>
    <w:rsid w:val="0DEC378F"/>
    <w:rsid w:val="0E855660"/>
    <w:rsid w:val="1168665A"/>
    <w:rsid w:val="12325CC7"/>
    <w:rsid w:val="179527BB"/>
    <w:rsid w:val="1D1D45FF"/>
    <w:rsid w:val="1E41686D"/>
    <w:rsid w:val="20635AA6"/>
    <w:rsid w:val="20C62BF1"/>
    <w:rsid w:val="21F57496"/>
    <w:rsid w:val="22065E73"/>
    <w:rsid w:val="23AD5A0F"/>
    <w:rsid w:val="278553FD"/>
    <w:rsid w:val="280407E8"/>
    <w:rsid w:val="2822143B"/>
    <w:rsid w:val="29121140"/>
    <w:rsid w:val="2A482264"/>
    <w:rsid w:val="2A5E3DB9"/>
    <w:rsid w:val="2A92249B"/>
    <w:rsid w:val="2B74741E"/>
    <w:rsid w:val="2D6E267C"/>
    <w:rsid w:val="2DC357F4"/>
    <w:rsid w:val="2DD35BB0"/>
    <w:rsid w:val="31007823"/>
    <w:rsid w:val="31DB4320"/>
    <w:rsid w:val="31F85FA6"/>
    <w:rsid w:val="31FB4B2E"/>
    <w:rsid w:val="32250608"/>
    <w:rsid w:val="33B74E94"/>
    <w:rsid w:val="37B74671"/>
    <w:rsid w:val="382406C9"/>
    <w:rsid w:val="3A1F740A"/>
    <w:rsid w:val="3A330CC5"/>
    <w:rsid w:val="3B64404C"/>
    <w:rsid w:val="3BAB7E85"/>
    <w:rsid w:val="3D14004D"/>
    <w:rsid w:val="3D702E42"/>
    <w:rsid w:val="3E286659"/>
    <w:rsid w:val="3EB763EA"/>
    <w:rsid w:val="408348B7"/>
    <w:rsid w:val="40B27F67"/>
    <w:rsid w:val="422E5CF7"/>
    <w:rsid w:val="44716148"/>
    <w:rsid w:val="44CA10B8"/>
    <w:rsid w:val="46166876"/>
    <w:rsid w:val="499E6AA3"/>
    <w:rsid w:val="49DF5500"/>
    <w:rsid w:val="4A682CFA"/>
    <w:rsid w:val="4C141176"/>
    <w:rsid w:val="4C9472A5"/>
    <w:rsid w:val="500F07D3"/>
    <w:rsid w:val="534B6626"/>
    <w:rsid w:val="54C36AB0"/>
    <w:rsid w:val="54EA6583"/>
    <w:rsid w:val="568A03D1"/>
    <w:rsid w:val="584A66D6"/>
    <w:rsid w:val="5854169E"/>
    <w:rsid w:val="589118B2"/>
    <w:rsid w:val="591735D6"/>
    <w:rsid w:val="5C9F67B3"/>
    <w:rsid w:val="5E780585"/>
    <w:rsid w:val="5E9C2916"/>
    <w:rsid w:val="5EBC1A66"/>
    <w:rsid w:val="5F9412F0"/>
    <w:rsid w:val="61BC0C92"/>
    <w:rsid w:val="61F31A5F"/>
    <w:rsid w:val="6351536A"/>
    <w:rsid w:val="63873B10"/>
    <w:rsid w:val="652C13DF"/>
    <w:rsid w:val="67095C4E"/>
    <w:rsid w:val="692723ED"/>
    <w:rsid w:val="6A5E4097"/>
    <w:rsid w:val="6B1E59C9"/>
    <w:rsid w:val="6BA73DFE"/>
    <w:rsid w:val="6CD50FAE"/>
    <w:rsid w:val="6D5D7E7A"/>
    <w:rsid w:val="6E4B6980"/>
    <w:rsid w:val="6E4B7C3C"/>
    <w:rsid w:val="71035757"/>
    <w:rsid w:val="717319F1"/>
    <w:rsid w:val="72174E23"/>
    <w:rsid w:val="726C6788"/>
    <w:rsid w:val="73120FEC"/>
    <w:rsid w:val="73F75108"/>
    <w:rsid w:val="753F3917"/>
    <w:rsid w:val="75B51195"/>
    <w:rsid w:val="795A5BE1"/>
    <w:rsid w:val="79751281"/>
    <w:rsid w:val="7A5C20B5"/>
    <w:rsid w:val="7ACB37BD"/>
    <w:rsid w:val="7D881BE4"/>
    <w:rsid w:val="7DC03D39"/>
    <w:rsid w:val="7E365B51"/>
    <w:rsid w:val="7E741AEB"/>
    <w:rsid w:val="7F3D37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0"/>
    <w:rPr>
      <w:color w:val="0000FF"/>
    </w:rPr>
  </w:style>
  <w:style w:type="paragraph" w:styleId="4">
    <w:name w:val="Balloon Text"/>
    <w:basedOn w:val="1"/>
    <w:link w:val="11"/>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批注框文本 Char"/>
    <w:link w:val="4"/>
    <w:semiHidden/>
    <w:locked/>
    <w:uiPriority w:val="99"/>
    <w:rPr>
      <w:rFonts w:ascii="Times New Roman" w:hAnsi="Times New Roman" w:eastAsia="宋体" w:cs="Times New Roman"/>
      <w:sz w:val="18"/>
      <w:szCs w:val="18"/>
    </w:rPr>
  </w:style>
  <w:style w:type="character" w:customStyle="1" w:styleId="12">
    <w:name w:val="页脚 Char"/>
    <w:link w:val="5"/>
    <w:semiHidden/>
    <w:locked/>
    <w:uiPriority w:val="99"/>
    <w:rPr>
      <w:rFonts w:ascii="Times New Roman" w:hAnsi="Times New Roman" w:eastAsia="宋体" w:cs="Times New Roman"/>
      <w:sz w:val="18"/>
      <w:szCs w:val="18"/>
    </w:rPr>
  </w:style>
  <w:style w:type="character" w:customStyle="1" w:styleId="13">
    <w:name w:val="页眉 Char"/>
    <w:link w:val="6"/>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 w:type="character" w:customStyle="1" w:styleId="18">
    <w:name w:val="占位符文本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2021-06-10T06:49:57Z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DB472367748D47AA8A46385A0F3CEB8E</vt:lpwstr>
  </property>
</Properties>
</file>