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EMS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83"/>
        <w:gridCol w:w="114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滁州华艺柔印环保科技有限公司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O：07.02.01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EnMS：2.10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99085" cy="209550"/>
                  <wp:effectExtent l="0" t="0" r="5715" b="6350"/>
                  <wp:docPr id="2" name="图片 1" descr="ccbdbfa7a0c1c4681ce8be2748e4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cbdbfa7a0c1c4681ce8be2748e406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23999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O：07.02.01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EnMS：2.10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1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O：07.02.01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EnMS：2.10</w:t>
            </w:r>
          </w:p>
        </w:tc>
        <w:tc>
          <w:tcPr>
            <w:tcW w:w="114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O：07.02.01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1044467978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原纸-制浆--起楞-复合-裁切-瓦楞纸--分纸-印刷-裁切-成型-纸箱包-检验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高速纸板粘合机、印刷机、切割机、打钉机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工艺过程消耗的能源种类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电力、水、蒸汽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机械伤害、触电、火灾、中毒、窒息、灼烫、高处坠落、物体打击、车辆伤害、噪声、振动、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熟悉瓦楞纸等能源相关法律法规：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1、GB6543 瓦楞纸箱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2、GB/T1517-94 运输包装件抽样检验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3《中华人民共和国节约能源法》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4《产业结构调整指导目录》（2013年修订）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5《高耗能落后电机设备（产品）淘汰目录》（1-4批）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8相关行业的产业政策（如运动器材等，有门槛要求）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9、节能技术标准依据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 xml:space="preserve">10《节能监测技术通则》（GB/T15316－2009） 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 xml:space="preserve">11《综合能耗计算通则》（GB/T2589－2008）  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 xml:space="preserve">12《企业节能量计算方法》（GB/T13234－2009） 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 xml:space="preserve">13《工业企业能源管理导则》（GB/T15587－2008）  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14《用能单位能源计量器具配备和管理通则》（GB/17167-2008）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15《企业能量平衡通则》（GB/T3484-2009）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瓦楞纸职业健康安全相关的法律法规；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中华人民共和国安全生产法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中华人民共和国危险化学品安全管理条例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GB15603-95  常用化学危险品贮存通则</w:t>
            </w:r>
          </w:p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危险化学品安全管理条例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GB 16179-1996 安全标志使用导则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lang w:val="en-US" w:eastAsia="zh-CN"/>
              </w:rPr>
              <w:t>瓦楞纸标准及相关的法律法规知识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</w:rPr>
        <w:drawing>
          <wp:inline distT="0" distB="0" distL="114300" distR="114300">
            <wp:extent cx="299085" cy="209550"/>
            <wp:effectExtent l="0" t="0" r="5715" b="6350"/>
            <wp:docPr id="3" name="图片 2" descr="ccbdbfa7a0c1c4681ce8be2748e4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cbdbfa7a0c1c4681ce8be2748e4066"/>
                    <pic:cNvPicPr>
                      <a:picLocks noChangeAspect="1"/>
                    </pic:cNvPicPr>
                  </pic:nvPicPr>
                  <pic:blipFill>
                    <a:blip r:embed="rId5">
                      <a:lum bright="23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2021.5.31</w:t>
      </w:r>
      <w:r>
        <w:rPr>
          <w:rFonts w:hint="eastAsia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2021.5.31</w:t>
      </w:r>
      <w:r>
        <w:rPr>
          <w:rFonts w:hint="eastAsia"/>
          <w:b/>
          <w:sz w:val="18"/>
          <w:szCs w:val="18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EE56E1"/>
    <w:rsid w:val="28F56539"/>
    <w:rsid w:val="57112554"/>
    <w:rsid w:val="5F453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2021-06-07T00:31:55Z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28C4AE1F47B844DB977EB82D05608246</vt:lpwstr>
  </property>
</Properties>
</file>