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drawing>
          <wp:inline distT="0" distB="0" distL="114300" distR="114300">
            <wp:extent cx="6146800" cy="8388350"/>
            <wp:effectExtent l="0" t="0" r="0" b="6350"/>
            <wp:docPr id="2" name="图片 2" descr="e5b170872e9df2acb43fbda6c23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b170872e9df2acb43fbda6c2370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90310" cy="8701405"/>
            <wp:effectExtent l="0" t="0" r="8890" b="10795"/>
            <wp:docPr id="3" name="图片 3" descr="c6d6caa510a66bbe7a758fa32ebe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d6caa510a66bbe7a758fa32ebe9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870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89675" cy="8938895"/>
            <wp:effectExtent l="0" t="0" r="9525" b="1905"/>
            <wp:docPr id="4" name="图片 4" descr="d34250e2f0ca4d2ac7dee8219fb7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4250e2f0ca4d2ac7dee8219fb7f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9675" cy="89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宁波喜悦智行科技股份有限公司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毛燕利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经检查法律法规清单，缺少宁波市地方政府关于能源方面的法规条例等文件。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经检查法律法规清单，缺少宁波市地方政府关于能源方面的法规条例等文件。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92AF7"/>
    <w:rsid w:val="295A7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2021-06-14T07:03:59Z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E8C00F75D81247BBA9AAC14F8635465E</vt:lpwstr>
  </property>
</Properties>
</file>