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 xml:space="preserve">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宁波喜悦智行科技股份有限公司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2.10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5715</wp:posOffset>
                  </wp:positionV>
                  <wp:extent cx="659130" cy="307340"/>
                  <wp:effectExtent l="0" t="0" r="1270" b="10160"/>
                  <wp:wrapSquare wrapText="bothSides"/>
                  <wp:docPr id="5" name="图片 5" descr="cb617c1f8c1fefd6a061e2fd1475c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b617c1f8c1fefd6a061e2fd1475c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1、吸塑包装  生产工艺流程图：</w:t>
            </w:r>
          </w:p>
          <w:p>
            <w:pPr>
              <w:snapToGrid w:val="0"/>
              <w:spacing w:line="280" w:lineRule="exact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10795</wp:posOffset>
                  </wp:positionV>
                  <wp:extent cx="5123815" cy="1390015"/>
                  <wp:effectExtent l="0" t="0" r="6985" b="698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815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2、塑料围板箱  生产工艺流程图：</w:t>
            </w:r>
          </w:p>
          <w:p>
            <w:pPr>
              <w:snapToGrid w:val="0"/>
              <w:spacing w:line="28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17145</wp:posOffset>
                  </wp:positionV>
                  <wp:extent cx="5109210" cy="1257300"/>
                  <wp:effectExtent l="0" t="0" r="889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21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3、包装内材  生产工艺流程图：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114290" cy="115316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29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四、热压产品  生产工艺流程图：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113655" cy="1242695"/>
                  <wp:effectExtent l="0" t="0" r="444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65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电力、柴油、压缩空气、水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主要的耗能设备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注塑机、吸塑机、热压机、空压机、模温机、真空泵、烫金机。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国家限额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《中华人民共和国节约能源法》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2、部门规章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《产业结构调整指导目录》（201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年修订）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相关行业的产业政策（如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运动器材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等，有门槛要求）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3、节能技术标准依据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《节能监测技术通则》（GB/T15316－2009）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《综合能耗计算通则》（GB/T2589－2008）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</w:rPr>
              <w:t>单位节能量计算方法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》（GB/T13234－20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《工业企业能源管理导则》（GB/T15587－2008）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《用能单位能源计量器具配备和管理通则》（GB/17167-200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color w:val="00000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134620</wp:posOffset>
            </wp:positionV>
            <wp:extent cx="659130" cy="307340"/>
            <wp:effectExtent l="0" t="0" r="1270" b="10160"/>
            <wp:wrapSquare wrapText="bothSides"/>
            <wp:docPr id="6" name="图片 6" descr="cb617c1f8c1fefd6a061e2fd1475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617c1f8c1fefd6a061e2fd1475c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2021.6.11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DBD2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2021-06-13T02:09:58Z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6AA572FB6CF847CB813027E3FAAD0ED3</vt:lpwstr>
  </property>
</Properties>
</file>