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重庆兆冠玻璃有限公司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1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2340"/>
        <w:gridCol w:w="352"/>
        <w:gridCol w:w="850"/>
        <w:gridCol w:w="135"/>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2340" w:type="dxa"/>
            <w:vAlign w:val="center"/>
          </w:tcPr>
          <w:p>
            <w:pPr>
              <w:jc w:val="center"/>
              <w:rPr>
                <w:b/>
                <w:sz w:val="21"/>
                <w:szCs w:val="21"/>
              </w:rPr>
            </w:pPr>
            <w:r>
              <w:rPr>
                <w:rFonts w:hint="eastAsia"/>
                <w:b/>
                <w:sz w:val="21"/>
                <w:szCs w:val="21"/>
              </w:rPr>
              <w:t>审核员注册号</w:t>
            </w:r>
          </w:p>
        </w:tc>
        <w:tc>
          <w:tcPr>
            <w:tcW w:w="1337" w:type="dxa"/>
            <w:gridSpan w:val="3"/>
            <w:vAlign w:val="center"/>
          </w:tcPr>
          <w:p>
            <w:pPr>
              <w:jc w:val="center"/>
              <w:rPr>
                <w:b/>
                <w:sz w:val="21"/>
                <w:szCs w:val="21"/>
              </w:rPr>
            </w:pPr>
            <w:r>
              <w:rPr>
                <w:rFonts w:hint="eastAsia"/>
                <w:b/>
                <w:sz w:val="21"/>
                <w:szCs w:val="21"/>
              </w:rPr>
              <w:t>专业代码</w:t>
            </w:r>
          </w:p>
        </w:tc>
        <w:tc>
          <w:tcPr>
            <w:tcW w:w="1479"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340" w:type="dxa"/>
            <w:vAlign w:val="center"/>
          </w:tcPr>
          <w:p>
            <w:pPr>
              <w:jc w:val="center"/>
              <w:rPr>
                <w:b/>
                <w:sz w:val="21"/>
                <w:szCs w:val="21"/>
              </w:rPr>
            </w:pPr>
            <w:r>
              <w:rPr>
                <w:b/>
                <w:sz w:val="21"/>
                <w:szCs w:val="21"/>
              </w:rPr>
              <w:t>2019-N1QMS-3093566</w:t>
            </w:r>
          </w:p>
          <w:p>
            <w:pPr>
              <w:jc w:val="center"/>
              <w:rPr>
                <w:b/>
                <w:sz w:val="21"/>
                <w:szCs w:val="21"/>
              </w:rPr>
            </w:pPr>
            <w:r>
              <w:rPr>
                <w:b/>
                <w:sz w:val="21"/>
                <w:szCs w:val="21"/>
              </w:rPr>
              <w:t>2021-N1EMS-3093566</w:t>
            </w:r>
          </w:p>
          <w:p>
            <w:pPr>
              <w:jc w:val="center"/>
              <w:rPr>
                <w:b/>
                <w:sz w:val="21"/>
                <w:szCs w:val="21"/>
              </w:rPr>
            </w:pPr>
            <w:r>
              <w:rPr>
                <w:b/>
                <w:sz w:val="21"/>
                <w:szCs w:val="21"/>
              </w:rPr>
              <w:t>2019-N1OHSMS-2093566</w:t>
            </w:r>
          </w:p>
        </w:tc>
        <w:tc>
          <w:tcPr>
            <w:tcW w:w="1337" w:type="dxa"/>
            <w:gridSpan w:val="3"/>
            <w:vAlign w:val="center"/>
          </w:tcPr>
          <w:p>
            <w:pPr>
              <w:jc w:val="center"/>
              <w:rPr>
                <w:b/>
                <w:sz w:val="21"/>
                <w:szCs w:val="21"/>
              </w:rPr>
            </w:pPr>
            <w:r>
              <w:rPr>
                <w:b/>
                <w:sz w:val="21"/>
                <w:szCs w:val="21"/>
              </w:rPr>
              <w:t>Q:15.01.02</w:t>
            </w:r>
          </w:p>
          <w:p>
            <w:pPr>
              <w:jc w:val="center"/>
              <w:rPr>
                <w:b/>
                <w:sz w:val="21"/>
                <w:szCs w:val="21"/>
              </w:rPr>
            </w:pPr>
            <w:r>
              <w:rPr>
                <w:b/>
                <w:sz w:val="21"/>
                <w:szCs w:val="21"/>
              </w:rPr>
              <w:t>E:15.01.02</w:t>
            </w:r>
          </w:p>
          <w:p>
            <w:pPr>
              <w:jc w:val="center"/>
              <w:rPr>
                <w:b/>
                <w:sz w:val="21"/>
                <w:szCs w:val="21"/>
              </w:rPr>
            </w:pPr>
            <w:r>
              <w:rPr>
                <w:b/>
                <w:sz w:val="21"/>
                <w:szCs w:val="21"/>
              </w:rPr>
              <w:t>O:15.01.02</w:t>
            </w:r>
          </w:p>
        </w:tc>
        <w:tc>
          <w:tcPr>
            <w:tcW w:w="1479"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tc>
        <w:tc>
          <w:tcPr>
            <w:tcW w:w="2340" w:type="dxa"/>
            <w:vAlign w:val="center"/>
          </w:tcPr>
          <w:p>
            <w:pPr>
              <w:jc w:val="center"/>
              <w:rPr>
                <w:b/>
                <w:sz w:val="21"/>
                <w:szCs w:val="21"/>
              </w:rPr>
            </w:pPr>
            <w:r>
              <w:rPr>
                <w:b/>
                <w:sz w:val="21"/>
                <w:szCs w:val="21"/>
              </w:rPr>
              <w:t>2018-N1QMS-2207381</w:t>
            </w:r>
          </w:p>
        </w:tc>
        <w:tc>
          <w:tcPr>
            <w:tcW w:w="1337" w:type="dxa"/>
            <w:gridSpan w:val="3"/>
            <w:vAlign w:val="center"/>
          </w:tcPr>
          <w:p>
            <w:pPr>
              <w:jc w:val="center"/>
              <w:rPr>
                <w:b/>
                <w:sz w:val="21"/>
                <w:szCs w:val="21"/>
              </w:rPr>
            </w:pPr>
          </w:p>
        </w:tc>
        <w:tc>
          <w:tcPr>
            <w:tcW w:w="1479"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340"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1337" w:type="dxa"/>
            <w:gridSpan w:val="3"/>
            <w:vAlign w:val="center"/>
          </w:tcPr>
          <w:p>
            <w:pPr>
              <w:jc w:val="center"/>
              <w:rPr>
                <w:b/>
                <w:sz w:val="21"/>
                <w:szCs w:val="21"/>
              </w:rPr>
            </w:pPr>
          </w:p>
        </w:tc>
        <w:tc>
          <w:tcPr>
            <w:tcW w:w="1479"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340" w:type="dxa"/>
            <w:vAlign w:val="center"/>
          </w:tcPr>
          <w:p>
            <w:pPr>
              <w:jc w:val="center"/>
              <w:rPr>
                <w:b/>
                <w:sz w:val="21"/>
                <w:szCs w:val="21"/>
              </w:rPr>
            </w:pPr>
            <w:r>
              <w:rPr>
                <w:b/>
                <w:sz w:val="21"/>
                <w:szCs w:val="21"/>
              </w:rPr>
              <w:t>2019-N1QMS-1242345</w:t>
            </w:r>
          </w:p>
          <w:p>
            <w:pPr>
              <w:jc w:val="center"/>
              <w:rPr>
                <w:b/>
                <w:sz w:val="21"/>
                <w:szCs w:val="21"/>
              </w:rPr>
            </w:pPr>
            <w:r>
              <w:rPr>
                <w:b/>
                <w:sz w:val="21"/>
                <w:szCs w:val="21"/>
              </w:rPr>
              <w:t>2019-N1EMS-1242345</w:t>
            </w:r>
          </w:p>
        </w:tc>
        <w:tc>
          <w:tcPr>
            <w:tcW w:w="1337" w:type="dxa"/>
            <w:gridSpan w:val="3"/>
            <w:vAlign w:val="center"/>
          </w:tcPr>
          <w:p>
            <w:pPr>
              <w:jc w:val="center"/>
              <w:rPr>
                <w:b/>
                <w:sz w:val="21"/>
                <w:szCs w:val="21"/>
              </w:rPr>
            </w:pPr>
          </w:p>
        </w:tc>
        <w:tc>
          <w:tcPr>
            <w:tcW w:w="1479" w:type="dxa"/>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340" w:type="dxa"/>
          </w:tcPr>
          <w:p>
            <w:pPr>
              <w:rPr>
                <w:b/>
                <w:sz w:val="21"/>
                <w:szCs w:val="21"/>
              </w:rPr>
            </w:pPr>
          </w:p>
        </w:tc>
        <w:tc>
          <w:tcPr>
            <w:tcW w:w="1337" w:type="dxa"/>
            <w:gridSpan w:val="3"/>
          </w:tcPr>
          <w:p>
            <w:pPr>
              <w:rPr>
                <w:b/>
                <w:sz w:val="21"/>
                <w:szCs w:val="21"/>
              </w:rPr>
            </w:pPr>
          </w:p>
        </w:tc>
        <w:tc>
          <w:tcPr>
            <w:tcW w:w="1479"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重庆兆冠玻璃有限公司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color w:val="000000"/>
                <w:szCs w:val="21"/>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2" w:name="注册地址"/>
            <w:r>
              <w:rPr>
                <w:rFonts w:ascii="宋体"/>
                <w:b/>
                <w:color w:val="auto"/>
                <w:sz w:val="21"/>
              </w:rPr>
              <w:t>重庆市铜梁区工业园区姜家岩路11号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402560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color w:val="auto"/>
                <w:sz w:val="21"/>
              </w:rPr>
            </w:pPr>
            <w:bookmarkStart w:id="14" w:name="办公地址"/>
            <w:r>
              <w:rPr>
                <w:rFonts w:ascii="宋体"/>
                <w:b/>
                <w:color w:val="auto"/>
                <w:sz w:val="21"/>
              </w:rPr>
              <w:t>重庆市铜梁区工业园区姜家岩路11号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402560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重庆市铜梁区工业园区姜家岩路11号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402560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jc w:val="center"/>
              <w:rPr>
                <w:rFonts w:hint="eastAsia" w:ascii="宋体" w:hAnsi="宋体" w:eastAsia="宋体" w:cs="Times New Roman"/>
                <w:b/>
                <w:sz w:val="21"/>
                <w:lang w:eastAsia="zh-CN"/>
              </w:rPr>
            </w:pPr>
            <w:r>
              <w:rPr>
                <w:rFonts w:hint="eastAsia" w:ascii="宋体" w:hAnsi="宋体" w:eastAsia="宋体" w:cs="Times New Roman"/>
                <w:b/>
                <w:sz w:val="21"/>
                <w:lang w:eastAsia="zh-CN"/>
              </w:rPr>
              <w:t>徐瑶</w:t>
            </w:r>
          </w:p>
        </w:tc>
        <w:tc>
          <w:tcPr>
            <w:tcW w:w="1109" w:type="dxa"/>
            <w:vAlign w:val="center"/>
          </w:tcPr>
          <w:p>
            <w:pPr>
              <w:jc w:val="center"/>
              <w:rPr>
                <w:rFonts w:hint="eastAsia" w:ascii="宋体" w:hAnsi="宋体" w:eastAsia="宋体" w:cs="Times New Roman"/>
                <w:b/>
                <w:sz w:val="21"/>
              </w:rPr>
            </w:pPr>
            <w:r>
              <w:rPr>
                <w:rFonts w:hint="eastAsia" w:ascii="宋体" w:hAnsi="宋体" w:eastAsia="宋体" w:cs="Times New Roman"/>
                <w:b/>
                <w:sz w:val="21"/>
              </w:rPr>
              <w:t>电话.</w:t>
            </w:r>
          </w:p>
        </w:tc>
        <w:tc>
          <w:tcPr>
            <w:tcW w:w="1618" w:type="dxa"/>
            <w:gridSpan w:val="2"/>
            <w:vAlign w:val="center"/>
          </w:tcPr>
          <w:p>
            <w:pPr>
              <w:jc w:val="center"/>
              <w:rPr>
                <w:rFonts w:hint="eastAsia" w:ascii="宋体" w:hAnsi="宋体" w:eastAsia="宋体" w:cs="Times New Roman"/>
                <w:b/>
                <w:sz w:val="21"/>
              </w:rPr>
            </w:pPr>
            <w:r>
              <w:rPr>
                <w:rFonts w:hint="eastAsia" w:ascii="宋体" w:hAnsi="宋体" w:eastAsia="宋体" w:cs="Times New Roman"/>
                <w:b/>
                <w:sz w:val="21"/>
                <w:lang w:val="en-US" w:eastAsia="zh-CN"/>
              </w:rPr>
              <w:t>18996069605</w:t>
            </w:r>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夏茂秦</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夏茂秦</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hint="eastAsia" w:ascii="宋体" w:eastAsia="宋体"/>
                <w:b/>
                <w:sz w:val="21"/>
                <w:lang w:eastAsia="zh-CN"/>
              </w:rPr>
            </w:pPr>
            <w:r>
              <w:rPr>
                <w:rFonts w:hint="eastAsia" w:ascii="宋体"/>
                <w:b/>
                <w:sz w:val="21"/>
                <w:lang w:eastAsia="zh-CN"/>
              </w:rPr>
              <w:t>徐瑶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2021年06月07日 上午至2021年06月07日 下午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ascii="宋体" w:hAnsi="宋体" w:cs="Times New Roman"/>
                <w:b/>
                <w:sz w:val="21"/>
                <w:szCs w:val="21"/>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w:t>
            </w:r>
            <w:r>
              <w:rPr>
                <w:rFonts w:hint="eastAsia" w:ascii="宋体" w:hAnsi="宋体" w:cs="Times New Roman"/>
                <w:b/>
                <w:sz w:val="21"/>
                <w:szCs w:val="21"/>
              </w:rPr>
              <w:t xml:space="preserve">钢化玻璃、中空玻璃、夹层玻璃的生产（限3C认证范围内） </w:t>
            </w:r>
          </w:p>
          <w:p>
            <w:pPr>
              <w:rPr>
                <w:rFonts w:ascii="宋体" w:hAnsi="宋体" w:cs="Times New Roman"/>
                <w:b/>
                <w:sz w:val="21"/>
                <w:szCs w:val="21"/>
              </w:rPr>
            </w:pPr>
            <w:bookmarkStart w:id="22" w:name="E勾选Add1"/>
            <w:r>
              <w:rPr>
                <w:rFonts w:hint="eastAsia" w:ascii="宋体" w:hAnsi="宋体" w:cs="Times New Roman"/>
                <w:b/>
                <w:sz w:val="21"/>
                <w:szCs w:val="21"/>
              </w:rPr>
              <w:t>■</w:t>
            </w:r>
            <w:bookmarkEnd w:id="22"/>
            <w:r>
              <w:rPr>
                <w:rFonts w:ascii="宋体" w:hAnsi="宋体" w:cs="Times New Roman"/>
                <w:b/>
                <w:sz w:val="21"/>
                <w:szCs w:val="21"/>
              </w:rPr>
              <w:t>EMS</w:t>
            </w:r>
            <w:r>
              <w:rPr>
                <w:rFonts w:hint="eastAsia" w:ascii="宋体" w:hAnsi="宋体" w:cs="Times New Roman"/>
                <w:b/>
                <w:sz w:val="21"/>
                <w:szCs w:val="21"/>
              </w:rPr>
              <w:t>：钢化玻璃、中空玻璃、夹层玻璃的生产（限3C认证范围内）所涉及的相关环境管理活动</w:t>
            </w:r>
          </w:p>
          <w:p>
            <w:pPr>
              <w:rPr>
                <w:rFonts w:ascii="宋体" w:hAnsi="宋体"/>
                <w:b/>
                <w:sz w:val="21"/>
                <w:szCs w:val="21"/>
              </w:rPr>
            </w:pPr>
            <w:bookmarkStart w:id="23" w:name="S勾选Add2"/>
            <w:r>
              <w:rPr>
                <w:rFonts w:hint="eastAsia" w:ascii="宋体" w:hAnsi="宋体" w:cs="Times New Roman"/>
                <w:b/>
                <w:sz w:val="21"/>
                <w:szCs w:val="21"/>
              </w:rPr>
              <w:t>■</w:t>
            </w:r>
            <w:bookmarkEnd w:id="23"/>
            <w:r>
              <w:rPr>
                <w:rFonts w:ascii="宋体" w:hAnsi="宋体" w:cs="Times New Roman"/>
                <w:b/>
                <w:sz w:val="21"/>
                <w:szCs w:val="21"/>
              </w:rPr>
              <w:t>OHSMS</w:t>
            </w:r>
            <w:r>
              <w:rPr>
                <w:rFonts w:hint="eastAsia" w:ascii="宋体" w:hAnsi="宋体" w:cs="Times New Roman"/>
                <w:b/>
                <w:sz w:val="21"/>
                <w:szCs w:val="21"/>
              </w:rPr>
              <w:t>：钢化玻璃、中空玻璃、夹层玻璃的生产（限3C认证范围内）所涉及的相关职业健康安全管理活动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cs="Times New Roman"/>
                <w:b/>
                <w:sz w:val="21"/>
                <w:szCs w:val="21"/>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A3"/>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p>
            <w:pPr>
              <w:spacing w:line="360" w:lineRule="exact"/>
              <w:ind w:firstLine="422" w:firstLineChars="200"/>
              <w:rPr>
                <w:rFonts w:hint="eastAsia" w:ascii="宋体" w:hAnsi="宋体" w:eastAsia="宋体" w:cs="Times New Roman"/>
                <w:b/>
                <w:sz w:val="21"/>
                <w:szCs w:val="21"/>
                <w:lang w:eastAsia="zh-CN"/>
              </w:rPr>
            </w:pPr>
            <w:r>
              <w:rPr>
                <w:rFonts w:hint="eastAsia" w:ascii="宋体" w:hAnsi="宋体" w:eastAsia="宋体" w:cs="Times New Roman"/>
                <w:b/>
                <w:sz w:val="21"/>
                <w:szCs w:val="21"/>
              </w:rPr>
              <w:t>原总人数、体系人数：45人</w:t>
            </w:r>
            <w:r>
              <w:rPr>
                <w:rFonts w:hint="eastAsia" w:ascii="宋体" w:hAnsi="宋体" w:eastAsia="宋体" w:cs="Times New Roman"/>
                <w:b/>
                <w:sz w:val="21"/>
                <w:szCs w:val="21"/>
                <w:lang w:eastAsia="zh-CN"/>
              </w:rPr>
              <w:t>，</w:t>
            </w:r>
            <w:r>
              <w:rPr>
                <w:rFonts w:hint="eastAsia" w:ascii="宋体" w:hAnsi="宋体" w:eastAsia="宋体" w:cs="Times New Roman"/>
                <w:b/>
                <w:sz w:val="21"/>
                <w:szCs w:val="21"/>
              </w:rPr>
              <w:t>变更后总人数、体系人数：69人</w:t>
            </w:r>
            <w:r>
              <w:rPr>
                <w:rFonts w:hint="eastAsia" w:ascii="宋体" w:hAnsi="宋体" w:eastAsia="宋体" w:cs="Times New Roman"/>
                <w:b/>
                <w:sz w:val="21"/>
                <w:szCs w:val="21"/>
                <w:lang w:eastAsia="zh-CN"/>
              </w:rPr>
              <w:t>；</w:t>
            </w:r>
          </w:p>
          <w:p>
            <w:pPr>
              <w:spacing w:line="360" w:lineRule="exact"/>
              <w:ind w:firstLine="422" w:firstLineChars="200"/>
              <w:rPr>
                <w:rFonts w:hint="eastAsia" w:ascii="宋体" w:hAnsi="宋体" w:eastAsia="宋体" w:cs="Times New Roman"/>
                <w:b/>
                <w:sz w:val="21"/>
                <w:szCs w:val="21"/>
                <w:lang w:eastAsia="zh-CN"/>
              </w:rPr>
            </w:pPr>
            <w:r>
              <w:rPr>
                <w:rFonts w:hint="eastAsia" w:ascii="宋体" w:hAnsi="宋体" w:eastAsia="宋体" w:cs="Times New Roman"/>
                <w:b/>
                <w:sz w:val="21"/>
                <w:szCs w:val="21"/>
              </w:rPr>
              <w:t>原联系人：</w:t>
            </w:r>
            <w:bookmarkStart w:id="24" w:name="联系人"/>
            <w:r>
              <w:rPr>
                <w:rFonts w:hint="eastAsia" w:ascii="宋体" w:hAnsi="宋体" w:eastAsia="宋体" w:cs="Times New Roman"/>
                <w:b/>
                <w:sz w:val="21"/>
                <w:szCs w:val="21"/>
              </w:rPr>
              <w:t>胡汉国</w:t>
            </w:r>
            <w:bookmarkEnd w:id="24"/>
            <w:r>
              <w:rPr>
                <w:rFonts w:hint="eastAsia" w:ascii="宋体" w:hAnsi="宋体" w:eastAsia="宋体" w:cs="Times New Roman"/>
                <w:b/>
                <w:sz w:val="21"/>
                <w:szCs w:val="21"/>
              </w:rPr>
              <w:t xml:space="preserve">  </w:t>
            </w:r>
            <w:bookmarkStart w:id="25" w:name="联系人手机"/>
            <w:r>
              <w:rPr>
                <w:rFonts w:hint="eastAsia" w:ascii="宋体" w:hAnsi="宋体" w:eastAsia="宋体" w:cs="Times New Roman"/>
                <w:b/>
                <w:sz w:val="21"/>
                <w:szCs w:val="21"/>
                <w:lang w:val="de-DE"/>
              </w:rPr>
              <w:t>18680760048</w:t>
            </w:r>
            <w:bookmarkEnd w:id="25"/>
            <w:r>
              <w:rPr>
                <w:rFonts w:hint="eastAsia" w:ascii="宋体" w:hAnsi="宋体" w:eastAsia="宋体" w:cs="Times New Roman"/>
                <w:b/>
                <w:sz w:val="21"/>
                <w:szCs w:val="21"/>
                <w:lang w:val="en-US" w:eastAsia="zh-CN"/>
              </w:rPr>
              <w:t xml:space="preserve"> ，</w:t>
            </w:r>
            <w:r>
              <w:rPr>
                <w:rFonts w:hint="eastAsia" w:ascii="宋体" w:hAnsi="宋体" w:eastAsia="宋体" w:cs="Times New Roman"/>
                <w:b/>
                <w:sz w:val="21"/>
                <w:szCs w:val="21"/>
              </w:rPr>
              <w:t>变更后联系人：徐瑶 18996069605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Q：15.01.02</w:t>
            </w:r>
          </w:p>
          <w:p>
            <w:pPr>
              <w:spacing w:line="260" w:lineRule="exact"/>
              <w:rPr>
                <w:rFonts w:ascii="宋体" w:hAnsi="宋体"/>
                <w:b/>
                <w:sz w:val="21"/>
                <w:szCs w:val="21"/>
              </w:rPr>
            </w:pPr>
            <w:r>
              <w:rPr>
                <w:rFonts w:ascii="宋体" w:hAnsi="宋体"/>
                <w:b/>
                <w:sz w:val="21"/>
                <w:szCs w:val="21"/>
              </w:rPr>
              <w:t>E：15.01.02</w:t>
            </w:r>
          </w:p>
          <w:p>
            <w:pPr>
              <w:spacing w:line="260" w:lineRule="exact"/>
              <w:rPr>
                <w:rFonts w:ascii="宋体" w:hAnsi="宋体"/>
                <w:b/>
                <w:sz w:val="21"/>
                <w:szCs w:val="21"/>
              </w:rPr>
            </w:pPr>
            <w:r>
              <w:rPr>
                <w:rFonts w:ascii="宋体" w:hAnsi="宋体"/>
                <w:b/>
                <w:sz w:val="21"/>
                <w:szCs w:val="21"/>
              </w:rPr>
              <w:t>O：15.01.02</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rPr>
                <w:rFonts w:hint="eastAsia" w:ascii="宋体" w:hAnsi="宋体" w:cs="Times New Roman"/>
                <w:b/>
                <w:sz w:val="21"/>
                <w:szCs w:val="21"/>
              </w:rPr>
            </w:pPr>
            <w:r>
              <w:rPr>
                <w:rFonts w:hint="eastAsia" w:ascii="宋体" w:hAnsi="宋体" w:cs="Times New Roman"/>
                <w:b/>
                <w:sz w:val="21"/>
                <w:szCs w:val="21"/>
              </w:rPr>
              <w:t>202</w:t>
            </w:r>
            <w:r>
              <w:rPr>
                <w:rFonts w:hint="eastAsia" w:ascii="宋体" w:hAnsi="宋体" w:cs="Times New Roman"/>
                <w:b/>
                <w:sz w:val="21"/>
                <w:szCs w:val="21"/>
                <w:lang w:val="en-US" w:eastAsia="zh-CN"/>
              </w:rPr>
              <w:t>3</w:t>
            </w:r>
            <w:r>
              <w:rPr>
                <w:rFonts w:hint="eastAsia" w:ascii="宋体" w:hAnsi="宋体" w:cs="Times New Roman"/>
                <w:b/>
                <w:sz w:val="21"/>
                <w:szCs w:val="21"/>
              </w:rPr>
              <w:t>年06月</w:t>
            </w:r>
            <w:r>
              <w:rPr>
                <w:rFonts w:hint="eastAsia" w:ascii="宋体" w:hAnsi="宋体" w:cs="Times New Roman"/>
                <w:b/>
                <w:sz w:val="21"/>
                <w:szCs w:val="21"/>
                <w:lang w:val="en-US" w:eastAsia="zh-CN"/>
              </w:rPr>
              <w:t>29</w:t>
            </w:r>
            <w:r>
              <w:rPr>
                <w:rFonts w:hint="eastAsia" w:ascii="宋体" w:hAnsi="宋体" w:cs="Times New Roman"/>
                <w:b/>
                <w:sz w:val="21"/>
                <w:szCs w:val="21"/>
              </w:rPr>
              <w:t>日</w:t>
            </w:r>
          </w:p>
        </w:tc>
        <w:tc>
          <w:tcPr>
            <w:tcW w:w="1672" w:type="dxa"/>
            <w:vAlign w:val="center"/>
          </w:tcPr>
          <w:p>
            <w:pPr>
              <w:rPr>
                <w:rFonts w:hint="eastAsia" w:ascii="宋体" w:hAnsi="宋体" w:cs="Times New Roman"/>
                <w:b/>
                <w:sz w:val="21"/>
                <w:szCs w:val="21"/>
              </w:rPr>
            </w:pPr>
            <w:r>
              <w:rPr>
                <w:rFonts w:hint="eastAsia" w:ascii="宋体" w:hAnsi="宋体" w:cs="Times New Roman"/>
                <w:b/>
                <w:sz w:val="21"/>
                <w:szCs w:val="21"/>
              </w:rPr>
              <w:t>上年度</w:t>
            </w:r>
          </w:p>
          <w:p>
            <w:pPr>
              <w:rPr>
                <w:rFonts w:hint="eastAsia" w:ascii="宋体" w:hAnsi="宋体" w:cs="Times New Roman"/>
                <w:b/>
                <w:sz w:val="21"/>
                <w:szCs w:val="21"/>
              </w:rPr>
            </w:pPr>
            <w:r>
              <w:rPr>
                <w:rFonts w:hint="eastAsia" w:ascii="宋体" w:hAnsi="宋体" w:cs="Times New Roman"/>
                <w:b/>
                <w:sz w:val="21"/>
                <w:szCs w:val="21"/>
              </w:rPr>
              <w:t>审核日期</w:t>
            </w:r>
          </w:p>
        </w:tc>
        <w:tc>
          <w:tcPr>
            <w:tcW w:w="1500" w:type="dxa"/>
          </w:tcPr>
          <w:p>
            <w:pPr>
              <w:rPr>
                <w:rFonts w:hint="eastAsia" w:ascii="宋体" w:hAnsi="宋体" w:cs="Times New Roman"/>
                <w:b/>
                <w:sz w:val="21"/>
                <w:szCs w:val="21"/>
              </w:rPr>
            </w:pPr>
            <w:r>
              <w:rPr>
                <w:rFonts w:hint="eastAsia" w:ascii="宋体" w:hAnsi="宋体" w:cs="Times New Roman"/>
                <w:b/>
                <w:sz w:val="21"/>
                <w:szCs w:val="21"/>
              </w:rPr>
              <w:t>2020年06月06日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cs="Times New Roman"/>
          <w:b/>
          <w:sz w:val="21"/>
          <w:szCs w:val="21"/>
        </w:rPr>
        <w:t>2020年06月06日</w:t>
      </w:r>
      <w:r>
        <w:rPr>
          <w:rFonts w:hint="eastAsia" w:ascii="宋体" w:hAnsi="宋体" w:cs="Times New Roman"/>
          <w:b/>
          <w:sz w:val="21"/>
          <w:szCs w:val="21"/>
          <w:lang w:val="en-US" w:eastAsia="zh-CN"/>
        </w:rPr>
        <w:t>至2021年06月07日。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val="en-US"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80" w:firstLineChars="200"/>
              <w:jc w:val="left"/>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szCs w:val="21"/>
              </w:rPr>
              <w:t>质量方针：</w:t>
            </w:r>
            <w:r>
              <w:rPr>
                <w:rFonts w:hint="eastAsia"/>
                <w:bCs/>
                <w:szCs w:val="21"/>
              </w:rPr>
              <w:t>诚实守信，客户至上；真诚合作，实现双赢 ；</w:t>
            </w:r>
            <w:r>
              <w:rPr>
                <w:rFonts w:hint="eastAsia" w:ascii="宋体" w:hAnsi="宋体"/>
                <w:szCs w:val="21"/>
              </w:rPr>
              <w:t xml:space="preserve">环境方针： </w:t>
            </w:r>
            <w:r>
              <w:rPr>
                <w:rFonts w:hint="eastAsia"/>
                <w:bCs/>
                <w:szCs w:val="21"/>
              </w:rPr>
              <w:t>遵规守法，预防污染；高效低耗，环保营业 ；</w:t>
            </w:r>
            <w:r>
              <w:rPr>
                <w:rFonts w:hint="eastAsia" w:ascii="宋体" w:hAnsi="宋体"/>
                <w:szCs w:val="21"/>
              </w:rPr>
              <w:t xml:space="preserve">职业健康安全方针： </w:t>
            </w:r>
            <w:r>
              <w:rPr>
                <w:rFonts w:hint="eastAsia"/>
                <w:bCs/>
                <w:szCs w:val="21"/>
              </w:rPr>
              <w:t xml:space="preserve">安全第一，预防为主；健康向上，共建和谐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rPr>
              <w:t>钢化玻璃、中空玻璃、夹层玻璃的生产（限3C认证范围内）</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cs="Times New Roman"/>
              </w:rPr>
              <w:t>合片、钢化、夹胶过程。</w:t>
            </w:r>
          </w:p>
          <w:p>
            <w:pPr>
              <w:tabs>
                <w:tab w:val="left" w:pos="540"/>
              </w:tabs>
              <w:spacing w:line="300" w:lineRule="exact"/>
              <w:ind w:left="201" w:hanging="201" w:hangingChars="100"/>
              <w:rPr>
                <w:rFonts w:ascii="宋体" w:hAnsi="宋体"/>
                <w:b/>
                <w:color w:val="FF0000"/>
                <w:sz w:val="20"/>
                <w:szCs w:val="20"/>
                <w:u w:val="single"/>
              </w:rPr>
            </w:pPr>
            <w:r>
              <w:rPr>
                <w:rFonts w:hint="eastAsia" w:ascii="宋体" w:hAnsi="宋体"/>
                <w:b/>
                <w:color w:val="000000" w:themeColor="text1"/>
                <w:sz w:val="20"/>
                <w:szCs w:val="20"/>
              </w:rPr>
              <w:t xml:space="preserve">需要确认过程：  </w:t>
            </w:r>
            <w:r>
              <w:rPr>
                <w:rFonts w:hint="eastAsia" w:ascii="宋体" w:hAnsi="宋体" w:cs="Times New Roman"/>
              </w:rPr>
              <w:t>钢化、夹胶、打胶</w:t>
            </w:r>
          </w:p>
          <w:p>
            <w:pPr>
              <w:tabs>
                <w:tab w:val="left" w:pos="540"/>
              </w:tabs>
              <w:spacing w:line="300" w:lineRule="exact"/>
              <w:ind w:left="201" w:hanging="201" w:hangingChars="100"/>
              <w:rPr>
                <w:rFonts w:hint="eastAsia" w:ascii="宋体" w:hAnsi="宋体" w:eastAsia="宋体"/>
                <w:b/>
                <w:color w:val="000000" w:themeColor="text1"/>
                <w:szCs w:val="21"/>
                <w:lang w:eastAsia="zh-CN"/>
              </w:rPr>
            </w:pPr>
            <w:r>
              <w:rPr>
                <w:rFonts w:ascii="宋体" w:hAnsi="宋体"/>
                <w:b/>
                <w:color w:val="000000" w:themeColor="text1"/>
                <w:sz w:val="20"/>
                <w:szCs w:val="20"/>
              </w:rPr>
              <w:pict>
                <v:shape id="_x0000_s2052" o:spid="_x0000_s2052" o:spt="32" type="#_x0000_t32" style="position:absolute;left:0pt;margin-left:55.15pt;margin-top:12.75pt;height:0pt;width:42pt;z-index:25166540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w:t>
            </w:r>
            <w:r>
              <w:rPr>
                <w:rFonts w:hint="eastAsia" w:ascii="宋体" w:hAnsi="宋体"/>
                <w:b/>
                <w:color w:val="000000" w:themeColor="text1"/>
                <w:sz w:val="20"/>
                <w:szCs w:val="20"/>
                <w:lang w:val="en-US" w:eastAsia="zh-CN"/>
              </w:rPr>
              <w:t xml:space="preserve">   </w:t>
            </w:r>
            <w:r>
              <w:rPr>
                <w:rFonts w:hint="eastAsia" w:ascii="宋体" w:hAnsi="宋体"/>
                <w:b/>
                <w:color w:val="000000" w:themeColor="text1"/>
                <w:sz w:val="20"/>
                <w:szCs w:val="20"/>
              </w:rPr>
              <w:t>不适用理由：</w:t>
            </w:r>
            <w:r>
              <w:rPr>
                <w:rFonts w:hint="eastAsia" w:ascii="宋体" w:hAnsi="宋体"/>
                <w:szCs w:val="21"/>
              </w:rPr>
              <w:t>公司所生产</w:t>
            </w:r>
            <w:r>
              <w:rPr>
                <w:rFonts w:hint="eastAsia" w:ascii="宋体" w:hAnsi="宋体" w:cs="Times New Roman"/>
              </w:rPr>
              <w:t>的产品严格按照国家标准及客户要求进行生产、工艺成熟，无设计和开发。故该条款不适用，合理。删减8.3不影响为顾客提供满足要求产品的能力</w:t>
            </w:r>
            <w:r>
              <w:rPr>
                <w:rFonts w:hint="eastAsia" w:ascii="宋体" w:hAnsi="宋体"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60"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废水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8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1"/>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宋体" w:hAnsi="宋体"/>
                <w:bCs/>
                <w:szCs w:val="21"/>
              </w:rPr>
            </w:pPr>
            <w:r>
              <w:rPr>
                <w:rFonts w:hint="eastAsia" w:ascii="宋体" w:hAnsi="宋体"/>
                <w:bCs/>
                <w:szCs w:val="21"/>
              </w:rPr>
              <w:t xml:space="preserve">质量目标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宋体" w:hAnsi="宋体"/>
                <w:bCs/>
                <w:szCs w:val="21"/>
              </w:rPr>
            </w:pPr>
            <w:r>
              <w:rPr>
                <w:rFonts w:hint="eastAsia" w:ascii="宋体" w:hAnsi="宋体"/>
                <w:bCs/>
                <w:szCs w:val="21"/>
              </w:rPr>
              <w:t>1、</w:t>
            </w:r>
            <w:r>
              <w:rPr>
                <w:rFonts w:hint="eastAsia" w:ascii="宋体" w:hAnsi="宋体"/>
                <w:bCs/>
                <w:color w:val="000000"/>
                <w:szCs w:val="21"/>
              </w:rPr>
              <w:t>产品一次检验合格率</w:t>
            </w:r>
            <w:r>
              <w:rPr>
                <w:rFonts w:hint="eastAsia"/>
                <w:color w:val="000000"/>
                <w:szCs w:val="21"/>
              </w:rPr>
              <w:t>97%以上；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宋体" w:hAnsi="宋体"/>
                <w:bCs/>
                <w:szCs w:val="21"/>
              </w:rPr>
            </w:pPr>
            <w:r>
              <w:rPr>
                <w:rFonts w:hint="eastAsia" w:ascii="宋体" w:hAnsi="宋体"/>
                <w:bCs/>
                <w:szCs w:val="21"/>
              </w:rPr>
              <w:t>2、合同履约率100％；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宋体" w:hAnsi="宋体"/>
                <w:bCs/>
                <w:szCs w:val="21"/>
              </w:rPr>
            </w:pPr>
            <w:r>
              <w:rPr>
                <w:rFonts w:hint="eastAsia" w:ascii="宋体" w:hAnsi="宋体"/>
                <w:bCs/>
                <w:szCs w:val="21"/>
              </w:rPr>
              <w:t xml:space="preserve">3、顾客满意率达到≥90%以上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宋体" w:hAnsi="宋体"/>
                <w:bCs/>
                <w:szCs w:val="21"/>
              </w:rPr>
            </w:pPr>
            <w:r>
              <w:rPr>
                <w:rFonts w:hint="eastAsia" w:ascii="宋体" w:hAnsi="宋体"/>
                <w:bCs/>
                <w:szCs w:val="21"/>
              </w:rPr>
              <w:t xml:space="preserve">环境目标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宋体" w:hAnsi="宋体"/>
                <w:bCs/>
                <w:szCs w:val="21"/>
              </w:rPr>
            </w:pPr>
            <w:r>
              <w:rPr>
                <w:rFonts w:hint="eastAsia" w:ascii="宋体" w:hAnsi="宋体"/>
                <w:bCs/>
                <w:szCs w:val="21"/>
              </w:rPr>
              <w:t xml:space="preserve">1、固体废弃物分类处理率100%；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宋体" w:hAnsi="宋体"/>
                <w:bCs/>
                <w:szCs w:val="21"/>
              </w:rPr>
            </w:pPr>
            <w:r>
              <w:rPr>
                <w:rFonts w:hint="eastAsia" w:ascii="宋体" w:hAnsi="宋体"/>
                <w:bCs/>
                <w:szCs w:val="21"/>
              </w:rPr>
              <w:t>2、火灾事故为零。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宋体" w:hAnsi="宋体"/>
                <w:bCs/>
                <w:szCs w:val="21"/>
              </w:rPr>
            </w:pPr>
            <w:r>
              <w:rPr>
                <w:rFonts w:hint="eastAsia" w:ascii="宋体" w:hAnsi="宋体"/>
                <w:bCs/>
                <w:szCs w:val="21"/>
              </w:rPr>
              <w:t xml:space="preserve">3、废水、噪声排放达标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宋体" w:hAnsi="宋体"/>
                <w:bCs/>
                <w:szCs w:val="21"/>
              </w:rPr>
            </w:pPr>
            <w:r>
              <w:rPr>
                <w:rFonts w:hint="eastAsia" w:ascii="宋体" w:hAnsi="宋体"/>
                <w:bCs/>
                <w:szCs w:val="21"/>
              </w:rPr>
              <w:t xml:space="preserve">职业健康安全目标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宋体" w:hAnsi="宋体"/>
                <w:bCs/>
                <w:szCs w:val="21"/>
              </w:rPr>
            </w:pPr>
            <w:r>
              <w:rPr>
                <w:rFonts w:hint="eastAsia" w:ascii="宋体" w:hAnsi="宋体"/>
                <w:bCs/>
                <w:szCs w:val="21"/>
              </w:rPr>
              <w:t xml:space="preserve">1、火灾事故为零；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宋体" w:hAnsi="宋体"/>
                <w:b/>
                <w:color w:val="000000" w:themeColor="text1"/>
              </w:rPr>
            </w:pPr>
            <w:r>
              <w:rPr>
                <w:rFonts w:hint="eastAsia" w:ascii="宋体" w:hAnsi="宋体"/>
                <w:bCs/>
                <w:szCs w:val="21"/>
              </w:rPr>
              <w:t>2、人身伤亡为零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12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80" w:firstLineChars="200"/>
              <w:rPr>
                <w:rFonts w:ascii="宋体" w:hAnsi="宋体"/>
                <w:b/>
                <w:color w:val="000000" w:themeColor="text1"/>
                <w:sz w:val="20"/>
                <w:szCs w:val="20"/>
              </w:rPr>
            </w:pPr>
            <w:r>
              <w:rPr>
                <w:rFonts w:hint="eastAsia" w:ascii="宋体" w:hAnsi="宋体"/>
                <w:szCs w:val="21"/>
              </w:rPr>
              <w:t>办公场所面积200平方左右，生产场所面积2000平方。</w:t>
            </w:r>
            <w:r>
              <w:rPr>
                <w:rFonts w:hint="eastAsia" w:ascii="宋体" w:hAnsi="宋体" w:cs="宋体"/>
                <w:szCs w:val="21"/>
              </w:rPr>
              <w:t>主要生产设备包括</w:t>
            </w:r>
            <w:r>
              <w:rPr>
                <w:rFonts w:hint="eastAsia" w:ascii="宋体" w:hAnsi="宋体"/>
                <w:szCs w:val="21"/>
              </w:rPr>
              <w:t>全自动玻璃切片机、砂带磨边机、铝条切割机、玻璃清洗机、玻璃清洗干燥机、丁胶涂布机、PVB胶膜铺摊机、红外加热初压机、红外蒸压釜、行走吸盘、中空玻璃板压生产线、钢化生产线等，可以满足</w:t>
            </w:r>
            <w:r>
              <w:rPr>
                <w:rFonts w:hint="eastAsia" w:ascii="宋体" w:hAnsi="宋体" w:cs="宋体"/>
                <w:szCs w:val="21"/>
              </w:rPr>
              <w:t>产品生产需求。对设备按月方式进行维护保养，并实施。特种设备：</w:t>
            </w:r>
            <w:r>
              <w:rPr>
                <w:rFonts w:hint="eastAsia" w:ascii="宋体" w:hAnsi="宋体"/>
                <w:szCs w:val="21"/>
              </w:rPr>
              <w:t>高压釜、行车、叉车</w:t>
            </w:r>
            <w:r>
              <w:rPr>
                <w:rFonts w:hint="eastAsia" w:ascii="宋体" w:hAnsi="宋体" w:cs="宋体"/>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color w:val="000000" w:themeColor="text1"/>
                <w:sz w:val="20"/>
                <w:szCs w:val="20"/>
              </w:rPr>
            </w:pPr>
            <w:r>
              <w:rPr>
                <w:rFonts w:hint="eastAsia" w:ascii="宋体" w:hAnsi="宋体" w:cs="宋体"/>
                <w:szCs w:val="21"/>
              </w:rPr>
              <w:t>办公、</w:t>
            </w:r>
            <w:r>
              <w:rPr>
                <w:rFonts w:hint="eastAsia" w:ascii="宋体" w:hAnsi="宋体"/>
                <w:szCs w:val="21"/>
              </w:rPr>
              <w:t>生产</w:t>
            </w:r>
            <w:r>
              <w:rPr>
                <w:rFonts w:hint="eastAsia" w:ascii="宋体" w:hAnsi="宋体" w:cs="宋体"/>
                <w:szCs w:val="21"/>
              </w:rPr>
              <w:t>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ind w:firstLine="480" w:firstLineChars="200"/>
              <w:rPr>
                <w:rFonts w:ascii="宋体" w:hAnsi="宋体"/>
                <w:b/>
                <w:color w:val="000000" w:themeColor="text1"/>
                <w:sz w:val="20"/>
                <w:szCs w:val="20"/>
              </w:rPr>
            </w:pPr>
            <w:r>
              <w:rPr>
                <w:rFonts w:hint="eastAsia" w:ascii="宋体" w:hAnsi="宋体" w:cs="宋体"/>
                <w:szCs w:val="21"/>
              </w:rPr>
              <w:t>查公司</w:t>
            </w:r>
            <w:r>
              <w:rPr>
                <w:rFonts w:hint="eastAsia"/>
                <w:color w:val="000000" w:themeColor="text1"/>
              </w:rPr>
              <w:t>配置有钢直尺、温湿度计、游标卡尺、千分尺、落球冲击框架、霰弹袋冲击试验机等</w:t>
            </w:r>
            <w:r>
              <w:rPr>
                <w:rFonts w:hint="eastAsia" w:ascii="宋体" w:hAnsi="宋体" w:cs="宋体"/>
                <w:color w:val="000000" w:themeColor="text1"/>
                <w:szCs w:val="21"/>
                <w:shd w:val="clear" w:color="auto" w:fill="FFFFFF"/>
              </w:rPr>
              <w:t>，按期校准或检定和自校，</w:t>
            </w:r>
            <w:r>
              <w:rPr>
                <w:rFonts w:hint="eastAsia" w:ascii="宋体" w:hAnsi="宋体" w:cs="宋体"/>
                <w:szCs w:val="21"/>
              </w:rPr>
              <w:t>能保证玻璃加工生产的要求。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color w:val="FF0000"/>
                <w:sz w:val="20"/>
                <w:szCs w:val="20"/>
              </w:rPr>
            </w:pPr>
            <w:r>
              <w:rPr>
                <w:rFonts w:hint="eastAsia" w:ascii="宋体" w:hAnsi="宋体"/>
                <w:sz w:val="20"/>
                <w:szCs w:val="20"/>
              </w:rPr>
              <w:t>消防栓、灭火器、布袋吸尘器、冲洗装置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8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8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有</w:t>
            </w:r>
          </w:p>
          <w:p>
            <w:pPr>
              <w:spacing w:line="300" w:lineRule="exact"/>
              <w:ind w:firstLine="197" w:firstLineChars="98"/>
              <w:rPr>
                <w:b/>
                <w:color w:val="000000" w:themeColor="text1"/>
                <w:sz w:val="20"/>
                <w:szCs w:val="20"/>
              </w:rPr>
            </w:pPr>
            <w:r>
              <w:rPr>
                <w:rFonts w:hint="eastAsia"/>
                <w:b/>
                <w:color w:val="000000" w:themeColor="text1"/>
                <w:sz w:val="20"/>
                <w:szCs w:val="20"/>
              </w:rPr>
              <w:t>（附相关证据）型式试验报告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b/>
                <w:color w:val="000000" w:themeColor="text1"/>
                <w:sz w:val="20"/>
                <w:szCs w:val="20"/>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pStyle w:val="13"/>
              <w:tabs>
                <w:tab w:val="center" w:pos="3169"/>
              </w:tabs>
              <w:spacing w:line="400" w:lineRule="exact"/>
              <w:jc w:val="left"/>
              <w:rPr>
                <w:b/>
                <w:color w:val="000000" w:themeColor="text1"/>
                <w:sz w:val="20"/>
                <w:szCs w:val="20"/>
              </w:rPr>
            </w:pPr>
            <w:r>
              <w:rPr>
                <w:rFonts w:hint="eastAsia" w:ascii="宋体" w:hAnsi="宋体" w:eastAsia="宋体" w:cs="宋体"/>
                <w:color w:val="000000"/>
                <w:kern w:val="2"/>
                <w:sz w:val="24"/>
                <w:szCs w:val="21"/>
                <w:lang w:val="en-US" w:eastAsia="zh-CN" w:bidi="ar-SA"/>
              </w:rPr>
              <w:t>组织重要环境因素为潜在火灾、固废废弃物、噪声排放、废水排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60"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w:t>
            </w:r>
            <w:r>
              <w:rPr>
                <w:rFonts w:hint="eastAsia"/>
                <w:szCs w:val="21"/>
              </w:rPr>
              <w:t>火灾、机械伤害、触电</w:t>
            </w:r>
            <w:r>
              <w:rPr>
                <w:rFonts w:hint="eastAsia" w:ascii="宋体" w:hAnsi="宋体"/>
                <w:szCs w:val="21"/>
              </w:rPr>
              <w:t>、烫伤、职业病</w:t>
            </w:r>
            <w:r>
              <w:rPr>
                <w:rFonts w:hint="eastAsia"/>
                <w:szCs w:val="21"/>
              </w:rPr>
              <w:t>）</w:t>
            </w:r>
            <w:r>
              <w:rPr>
                <w:rFonts w:hint="eastAsia" w:asciiTheme="minorEastAsia" w:hAnsiTheme="minorEastAsia" w:eastAsiaTheme="minorEastAsia"/>
                <w:bCs/>
                <w:iCs/>
              </w:rPr>
              <w:t>，与之相关的过程有生产过程，针对不可接受风险制定了管理方案。控制措施实施有效。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firstLine="480"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cs="Times New Roman" w:asciiTheme="minorEastAsia" w:hAnsiTheme="minorEastAsia" w:eastAsiaTheme="minorEastAsia"/>
                <w:bCs/>
                <w:iCs/>
              </w:rPr>
              <w:t>出示叉车、行车、高压釜的有效年检报告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20" w:firstLineChars="50"/>
              <w:rPr>
                <w:b/>
                <w:color w:val="000000" w:themeColor="text1"/>
                <w:sz w:val="20"/>
                <w:szCs w:val="20"/>
              </w:rPr>
            </w:pPr>
            <w:r>
              <w:rPr>
                <w:rFonts w:hint="eastAsia" w:ascii="宋体" w:hAnsi="宋体" w:cs="宋体"/>
                <w:color w:val="000000"/>
                <w:szCs w:val="21"/>
              </w:rPr>
              <w:t>公司制定、发布了总体目标并分解到相关职能</w:t>
            </w:r>
            <w:r>
              <w:rPr>
                <w:rFonts w:hint="eastAsia" w:ascii="宋体" w:hAnsi="宋体" w:cs="宋体"/>
                <w:color w:val="000000"/>
                <w:szCs w:val="21"/>
                <w:highlight w:val="none"/>
              </w:rPr>
              <w:t>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年1月-</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月目标的测量，总体已达到或超过了规定的目</w:t>
            </w:r>
            <w:r>
              <w:rPr>
                <w:rFonts w:hint="eastAsia" w:ascii="宋体" w:hAnsi="宋体" w:cs="宋体"/>
                <w:color w:val="000000"/>
                <w:szCs w:val="21"/>
              </w:rPr>
              <w:t>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20" w:leftChars="50" w:firstLine="360"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w:t>
            </w:r>
            <w:r>
              <w:rPr>
                <w:rFonts w:hint="eastAsia" w:ascii="宋体" w:hAnsi="宋体" w:cs="宋体"/>
                <w:color w:val="000000"/>
                <w:szCs w:val="21"/>
                <w:highlight w:val="none"/>
              </w:rPr>
              <w:t>，但在顾客反馈信息的利用上不够，需要改善。近年来未发生重大顾客投诉和产品质量事故。顾客满意度调查按规定实施，</w:t>
            </w:r>
            <w:r>
              <w:rPr>
                <w:rFonts w:hint="eastAsia" w:ascii="宋体" w:hAnsi="宋体" w:cs="宋体"/>
                <w:szCs w:val="21"/>
                <w:highlight w:val="none"/>
              </w:rPr>
              <w:t>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月实施，满意度评价98分，总体实现了顾客满</w:t>
            </w:r>
            <w:r>
              <w:rPr>
                <w:rFonts w:hint="eastAsia" w:ascii="宋体" w:hAnsi="宋体" w:cs="宋体"/>
                <w:szCs w:val="21"/>
              </w:rPr>
              <w:t>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80" w:firstLineChars="200"/>
              <w:rPr>
                <w:b/>
                <w:color w:val="FF0000"/>
                <w:sz w:val="20"/>
                <w:szCs w:val="20"/>
              </w:rPr>
            </w:pPr>
            <w:r>
              <w:rPr>
                <w:rFonts w:hint="eastAsia" w:ascii="宋体" w:hAnsi="宋体"/>
                <w:szCs w:val="21"/>
              </w:rPr>
              <w:t>建立有《内部审核控制程序》，规定了内审频次</w:t>
            </w:r>
            <w:r>
              <w:rPr>
                <w:rFonts w:hint="eastAsia" w:ascii="宋体" w:hAnsi="宋体" w:eastAsia="宋体" w:cs="Times New Roman"/>
                <w:szCs w:val="21"/>
              </w:rPr>
              <w:t>一年一次，内审时间：202</w:t>
            </w:r>
            <w:r>
              <w:rPr>
                <w:rFonts w:hint="eastAsia" w:ascii="宋体" w:hAnsi="宋体" w:eastAsia="宋体" w:cs="Times New Roman"/>
                <w:szCs w:val="21"/>
                <w:lang w:val="en-US" w:eastAsia="zh-CN"/>
              </w:rPr>
              <w:t>1</w:t>
            </w:r>
            <w:r>
              <w:rPr>
                <w:rFonts w:hint="eastAsia" w:ascii="宋体" w:hAnsi="宋体" w:eastAsia="宋体" w:cs="Times New Roman"/>
                <w:szCs w:val="21"/>
              </w:rPr>
              <w:t>年0</w:t>
            </w:r>
            <w:r>
              <w:rPr>
                <w:rFonts w:hint="eastAsia" w:ascii="宋体" w:hAnsi="宋体" w:eastAsia="宋体" w:cs="Times New Roman"/>
                <w:szCs w:val="21"/>
                <w:lang w:val="en-US" w:eastAsia="zh-CN"/>
              </w:rPr>
              <w:t>2</w:t>
            </w:r>
            <w:r>
              <w:rPr>
                <w:rFonts w:hint="eastAsia" w:ascii="宋体" w:hAnsi="宋体" w:eastAsia="宋体" w:cs="Times New Roman"/>
                <w:szCs w:val="21"/>
              </w:rPr>
              <w:t>月10日，拟定了审核实施表，明确了内审范围，内审人员经培训合格上岗，能力满足要求，未出现审核本部门情况，《内审不符合项报告》</w:t>
            </w:r>
            <w:r>
              <w:rPr>
                <w:rFonts w:hint="eastAsia" w:ascii="宋体" w:hAnsi="宋体" w:eastAsia="宋体" w:cs="Times New Roman"/>
                <w:szCs w:val="21"/>
                <w:lang w:val="en-US" w:eastAsia="zh-CN"/>
              </w:rPr>
              <w:t>1</w:t>
            </w:r>
            <w:r>
              <w:rPr>
                <w:rFonts w:hint="eastAsia" w:ascii="宋体" w:hAnsi="宋体" w:eastAsia="宋体" w:cs="Times New Roman"/>
                <w:szCs w:val="21"/>
              </w:rPr>
              <w:t>份，涉及生产技术部</w:t>
            </w:r>
            <w:r>
              <w:rPr>
                <w:rFonts w:hint="eastAsia" w:ascii="宋体" w:hAnsi="宋体" w:eastAsia="宋体" w:cs="Times New Roman"/>
                <w:szCs w:val="21"/>
                <w:lang w:val="en-US" w:eastAsia="zh-CN"/>
              </w:rPr>
              <w:t>Q8.5.1</w:t>
            </w:r>
            <w:r>
              <w:rPr>
                <w:rFonts w:hint="eastAsia" w:ascii="宋体" w:hAnsi="宋体" w:eastAsia="宋体" w:cs="Times New Roman"/>
                <w:szCs w:val="21"/>
              </w:rPr>
              <w:t>条款审核中发现</w:t>
            </w:r>
            <w:r>
              <w:rPr>
                <w:rFonts w:hint="eastAsia" w:ascii="宋体" w:hAnsi="宋体" w:eastAsia="宋体" w:cs="Times New Roman"/>
                <w:szCs w:val="21"/>
                <w:lang w:val="en-US" w:eastAsia="zh-CN"/>
              </w:rPr>
              <w:t>1月部分设备未保养</w:t>
            </w:r>
            <w:r>
              <w:rPr>
                <w:rFonts w:hint="eastAsia" w:ascii="宋体" w:hAnsi="宋体" w:eastAsia="宋体" w:cs="Times New Roman"/>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4.管理评审（管理评审体系变更需求，纠正和预防措施、体系有效性等）</w:t>
            </w:r>
          </w:p>
          <w:p>
            <w:pPr>
              <w:spacing w:line="240" w:lineRule="exact"/>
              <w:ind w:firstLine="480" w:firstLineChars="200"/>
              <w:rPr>
                <w:b/>
                <w:color w:val="000000" w:themeColor="text1"/>
                <w:sz w:val="20"/>
                <w:szCs w:val="20"/>
                <w:highlight w:val="none"/>
              </w:rPr>
            </w:pPr>
            <w:r>
              <w:rPr>
                <w:rFonts w:hint="eastAsia" w:ascii="宋体" w:hAnsi="宋体" w:cs="宋体"/>
                <w:szCs w:val="21"/>
                <w:highlight w:val="none"/>
              </w:rPr>
              <w:t>管理评审频次为一年一次、本次管理评审于</w:t>
            </w:r>
            <w:r>
              <w:rPr>
                <w:rFonts w:hint="eastAsia" w:ascii="宋体" w:hAnsi="宋体"/>
                <w:szCs w:val="21"/>
                <w:highlight w:val="none"/>
              </w:rPr>
              <w:t>202</w:t>
            </w:r>
            <w:r>
              <w:rPr>
                <w:rFonts w:hint="eastAsia" w:ascii="宋体" w:hAnsi="宋体"/>
                <w:szCs w:val="21"/>
                <w:highlight w:val="none"/>
                <w:lang w:val="en-US" w:eastAsia="zh-CN"/>
              </w:rPr>
              <w:t>1</w:t>
            </w:r>
            <w:r>
              <w:rPr>
                <w:rFonts w:hint="eastAsia" w:ascii="宋体" w:hAnsi="宋体"/>
                <w:szCs w:val="21"/>
                <w:highlight w:val="none"/>
              </w:rPr>
              <w:t>年0</w:t>
            </w:r>
            <w:r>
              <w:rPr>
                <w:rFonts w:hint="eastAsia" w:ascii="宋体" w:hAnsi="宋体"/>
                <w:szCs w:val="21"/>
                <w:highlight w:val="none"/>
                <w:lang w:val="en-US" w:eastAsia="zh-CN"/>
              </w:rPr>
              <w:t>3</w:t>
            </w:r>
            <w:r>
              <w:rPr>
                <w:rFonts w:hint="eastAsia" w:ascii="宋体" w:hAnsi="宋体"/>
                <w:szCs w:val="21"/>
                <w:highlight w:val="none"/>
              </w:rPr>
              <w:t>月10日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highlight w:val="none"/>
              </w:rPr>
            </w:pPr>
            <w:r>
              <w:rPr>
                <w:rFonts w:hint="eastAsia"/>
                <w:b/>
                <w:sz w:val="20"/>
                <w:szCs w:val="20"/>
                <w:highlight w:val="none"/>
              </w:rPr>
              <w:t>5.  EMS是否按规定对主要污染物（污水、废气、噪声、废渣等）及排放实施了例行的监视或测量，结果是否满足相关要求？</w:t>
            </w:r>
          </w:p>
          <w:p>
            <w:pPr>
              <w:spacing w:line="240" w:lineRule="exact"/>
              <w:ind w:firstLine="200" w:firstLineChars="100"/>
              <w:rPr>
                <w:rFonts w:hint="default" w:eastAsia="宋体"/>
                <w:sz w:val="20"/>
                <w:szCs w:val="20"/>
                <w:highlight w:val="none"/>
                <w:lang w:val="en-US" w:eastAsia="zh-CN"/>
              </w:rPr>
            </w:pPr>
            <w:r>
              <w:rPr>
                <w:rFonts w:hint="eastAsia"/>
                <w:sz w:val="20"/>
                <w:szCs w:val="20"/>
                <w:highlight w:val="none"/>
                <w:lang w:val="en-US" w:eastAsia="zh-CN"/>
              </w:rPr>
              <w:t>提供重庆新凯欣环境检测有限公司提供的环境检测报告，编号：新环（检）字（2020）第WT0129号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sz w:val="20"/>
                <w:szCs w:val="20"/>
                <w:highlight w:val="none"/>
              </w:rPr>
            </w:pPr>
            <w:r>
              <w:rPr>
                <w:rFonts w:hint="eastAsia"/>
                <w:b/>
                <w:sz w:val="20"/>
                <w:szCs w:val="20"/>
                <w:highlight w:val="none"/>
              </w:rPr>
              <w:t>7. OHSMS是否按规定对职业健康安全项目进行定期测量，结果是否满足相关要求：</w:t>
            </w:r>
          </w:p>
          <w:p>
            <w:pPr>
              <w:spacing w:line="240" w:lineRule="exact"/>
              <w:rPr>
                <w:b/>
                <w:sz w:val="20"/>
                <w:szCs w:val="20"/>
                <w:highlight w:val="none"/>
              </w:rPr>
            </w:pPr>
            <w:r>
              <w:rPr>
                <w:rFonts w:hint="eastAsia"/>
                <w:sz w:val="20"/>
                <w:szCs w:val="20"/>
                <w:highlight w:val="none"/>
              </w:rPr>
              <w:t>有检测，满足要求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lang w:val="en-US" w:eastAsia="zh-CN"/>
              </w:rPr>
              <w:t>4</w:t>
            </w:r>
            <w:r>
              <w:rPr>
                <w:rFonts w:hint="eastAsia"/>
                <w:b/>
                <w:color w:val="000000" w:themeColor="text1"/>
                <w:szCs w:val="21"/>
              </w:rPr>
              <w:t>. 上次不符合的整改情况（再认证填写）</w:t>
            </w:r>
          </w:p>
          <w:p>
            <w:pPr>
              <w:ind w:firstLine="240" w:firstLineChars="100"/>
              <w:rPr>
                <w:rFonts w:ascii="Times New Roman" w:hAnsi="Times New Roman" w:eastAsia="宋体" w:cs="Times New Roman"/>
                <w:b/>
                <w:color w:val="000000" w:themeColor="text1"/>
                <w:kern w:val="2"/>
                <w:sz w:val="24"/>
                <w:szCs w:val="21"/>
                <w:lang w:val="en-US" w:eastAsia="zh-CN" w:bidi="ar-SA"/>
              </w:rPr>
            </w:pPr>
            <w:r>
              <w:rPr>
                <w:rFonts w:hint="eastAsia" w:ascii="宋体" w:hAnsi="宋体" w:cs="新宋体"/>
                <w:szCs w:val="21"/>
                <w:lang w:val="en-US" w:eastAsia="zh-CN"/>
              </w:rPr>
              <w:t>经验证上次审核不符合</w:t>
            </w:r>
            <w:r>
              <w:rPr>
                <w:rFonts w:hint="eastAsia" w:ascii="宋体" w:hAnsi="宋体" w:cs="新宋体"/>
                <w:szCs w:val="21"/>
              </w:rPr>
              <w:t>ES8.1</w:t>
            </w:r>
            <w:r>
              <w:rPr>
                <w:rFonts w:hint="eastAsia" w:ascii="宋体" w:hAnsi="宋体" w:cs="新宋体"/>
                <w:szCs w:val="21"/>
                <w:lang w:eastAsia="zh-CN"/>
              </w:rPr>
              <w:t>，</w:t>
            </w:r>
            <w:r>
              <w:rPr>
                <w:rFonts w:hint="eastAsia" w:ascii="宋体" w:hAnsi="宋体" w:cs="新宋体"/>
                <w:szCs w:val="21"/>
                <w:lang w:val="en-US" w:eastAsia="zh-CN"/>
              </w:rPr>
              <w:t>经本次验证未出现类似情况发生。</w:t>
            </w:r>
            <w:r>
              <w:rPr>
                <w:rFonts w:hint="eastAsia" w:ascii="宋体" w:hAnsi="宋体" w:cs="新宋体"/>
                <w:szCs w:val="21"/>
              </w:rPr>
              <w:t xml:space="preserve"> </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numPr>
          <w:ilvl w:val="0"/>
          <w:numId w:val="2"/>
        </w:numPr>
        <w:spacing w:before="163" w:beforeLines="50" w:after="163" w:afterLines="50"/>
        <w:ind w:left="-122" w:leftChars="-51" w:firstLine="128" w:firstLineChars="46"/>
        <w:rPr>
          <w:rFonts w:hint="eastAsia"/>
          <w:b/>
          <w:sz w:val="26"/>
          <w:szCs w:val="26"/>
        </w:rPr>
      </w:pPr>
      <w:r>
        <w:rPr>
          <w:rFonts w:hint="eastAsia" w:ascii="仿宋" w:hAnsi="仿宋" w:eastAsia="仿宋"/>
          <w:kern w:val="24"/>
          <w:sz w:val="28"/>
          <w:szCs w:val="28"/>
        </w:rPr>
        <w:t>任何影响审核方案的重要事项</w:t>
      </w:r>
      <w:r>
        <w:rPr>
          <w:rFonts w:hint="eastAsia"/>
          <w:b/>
          <w:sz w:val="26"/>
          <w:szCs w:val="26"/>
        </w:rPr>
        <w:t>：</w:t>
      </w:r>
      <w:bookmarkStart w:id="27" w:name="_GoBack"/>
      <w:bookmarkEnd w:id="27"/>
    </w:p>
    <w:p>
      <w:pPr>
        <w:numPr>
          <w:numId w:val="0"/>
        </w:numPr>
        <w:spacing w:before="163" w:beforeLines="50" w:after="163" w:afterLines="50"/>
        <w:ind w:leftChars="-5" w:firstLine="1200" w:firstLineChars="500"/>
        <w:rPr>
          <w:rFonts w:hint="eastAsia" w:eastAsia="宋体"/>
          <w:b/>
          <w:color w:val="FF0000"/>
          <w:sz w:val="26"/>
          <w:szCs w:val="26"/>
          <w:lang w:val="en-US" w:eastAsia="zh-CN"/>
        </w:rPr>
      </w:pPr>
      <w:r>
        <w:rPr>
          <w:rFonts w:hint="eastAsia"/>
          <w:szCs w:val="21"/>
        </w:rPr>
        <w:t>人数变更</w:t>
      </w:r>
      <w:r>
        <w:rPr>
          <w:rFonts w:hint="eastAsia"/>
          <w:szCs w:val="21"/>
        </w:rPr>
        <w:t>：原总人数、体系人数：45人；变更后总人数、体系人数：69人</w:t>
      </w:r>
      <w:r>
        <w:rPr>
          <w:rFonts w:hint="eastAsia"/>
          <w:szCs w:val="21"/>
          <w:lang w:eastAsia="zh-CN"/>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1933575</wp:posOffset>
            </wp:positionH>
            <wp:positionV relativeFrom="paragraph">
              <wp:posOffset>280670</wp:posOffset>
            </wp:positionV>
            <wp:extent cx="306705" cy="284480"/>
            <wp:effectExtent l="0" t="0" r="17145" b="1270"/>
            <wp:wrapNone/>
            <wp:docPr id="10" name="图片 10"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5e69cce4380e02713697e955d1ffd9"/>
                    <pic:cNvPicPr>
                      <a:picLocks noChangeAspect="1"/>
                    </pic:cNvPicPr>
                  </pic:nvPicPr>
                  <pic:blipFill>
                    <a:blip r:embed="rId6"/>
                    <a:stretch>
                      <a:fillRect/>
                    </a:stretch>
                  </pic:blipFill>
                  <pic:spPr>
                    <a:xfrm>
                      <a:off x="0" y="0"/>
                      <a:ext cx="306705" cy="28448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drawing>
          <wp:anchor distT="0" distB="0" distL="114300" distR="114300" simplePos="0" relativeHeight="251660288" behindDoc="0" locked="0" layoutInCell="1" allowOverlap="1">
            <wp:simplePos x="0" y="0"/>
            <wp:positionH relativeFrom="column">
              <wp:posOffset>3179445</wp:posOffset>
            </wp:positionH>
            <wp:positionV relativeFrom="paragraph">
              <wp:posOffset>108585</wp:posOffset>
            </wp:positionV>
            <wp:extent cx="368935" cy="259080"/>
            <wp:effectExtent l="0" t="0" r="12065" b="6985"/>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7"/>
                    <a:stretch>
                      <a:fillRect/>
                    </a:stretch>
                  </pic:blipFill>
                  <pic:spPr>
                    <a:xfrm>
                      <a:off x="0" y="0"/>
                      <a:ext cx="368935" cy="259080"/>
                    </a:xfrm>
                    <a:prstGeom prst="rect">
                      <a:avLst/>
                    </a:prstGeom>
                    <a:noFill/>
                    <a:ln>
                      <a:noFill/>
                    </a:ln>
                  </pic:spPr>
                </pic:pic>
              </a:graphicData>
            </a:graphic>
          </wp:anchor>
        </w:drawing>
      </w:r>
      <w:r>
        <w:rPr>
          <w:sz w:val="24"/>
        </w:rPr>
        <w:drawing>
          <wp:anchor distT="0" distB="0" distL="114300" distR="114300" simplePos="0" relativeHeight="251661312" behindDoc="0" locked="0" layoutInCell="1" allowOverlap="1">
            <wp:simplePos x="0" y="0"/>
            <wp:positionH relativeFrom="column">
              <wp:posOffset>2518410</wp:posOffset>
            </wp:positionH>
            <wp:positionV relativeFrom="paragraph">
              <wp:posOffset>69850</wp:posOffset>
            </wp:positionV>
            <wp:extent cx="480695" cy="347345"/>
            <wp:effectExtent l="0" t="0" r="14605" b="14605"/>
            <wp:wrapNone/>
            <wp:docPr id="12" name="图片 12"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24309\AppData\Local\Temp\WeChat Files\5990baca09647c352f1321b31faa90a.jpg"/>
                    <pic:cNvPicPr>
                      <a:picLocks noChangeAspect="1"/>
                    </pic:cNvPicPr>
                  </pic:nvPicPr>
                  <pic:blipFill>
                    <a:blip r:embed="rId8"/>
                    <a:stretch>
                      <a:fillRect/>
                    </a:stretch>
                  </pic:blipFill>
                  <pic:spPr>
                    <a:xfrm>
                      <a:off x="0" y="0"/>
                      <a:ext cx="480695" cy="347345"/>
                    </a:xfrm>
                    <a:prstGeom prst="rect">
                      <a:avLst/>
                    </a:prstGeom>
                    <a:noFill/>
                    <a:ln>
                      <a:noFill/>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2056130</wp:posOffset>
            </wp:positionH>
            <wp:positionV relativeFrom="paragraph">
              <wp:posOffset>77470</wp:posOffset>
            </wp:positionV>
            <wp:extent cx="364490" cy="276225"/>
            <wp:effectExtent l="0" t="0" r="16510" b="9525"/>
            <wp:wrapNone/>
            <wp:docPr id="11"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C:\Users\Administrator\Desktop\签名.jpg"/>
                    <pic:cNvPicPr>
                      <a:picLocks noChangeAspect="1"/>
                    </pic:cNvPicPr>
                  </pic:nvPicPr>
                  <pic:blipFill>
                    <a:blip r:embed="rId9"/>
                    <a:stretch>
                      <a:fillRect/>
                    </a:stretch>
                  </pic:blipFill>
                  <pic:spPr>
                    <a:xfrm>
                      <a:off x="0" y="0"/>
                      <a:ext cx="364490" cy="27622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2021.06.07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0" w:firstLineChars="343"/>
        <w:rPr>
          <w:b/>
          <w:sz w:val="21"/>
          <w:szCs w:val="21"/>
          <w:u w:val="single"/>
        </w:rPr>
      </w:pPr>
      <w:r>
        <w:rPr>
          <w:rFonts w:hint="eastAsia" w:ascii="宋体" w:hAnsi="宋体" w:eastAsia="宋体" w:cs="Times New Roman"/>
          <w:kern w:val="2"/>
          <w:sz w:val="21"/>
          <w:szCs w:val="22"/>
          <w:lang w:val="en-US" w:eastAsia="zh-CN" w:bidi="ar-SA"/>
        </w:rPr>
        <w:drawing>
          <wp:anchor distT="0" distB="0" distL="114300" distR="114300" simplePos="0" relativeHeight="251664384" behindDoc="0" locked="0" layoutInCell="1" allowOverlap="1">
            <wp:simplePos x="0" y="0"/>
            <wp:positionH relativeFrom="column">
              <wp:posOffset>1173480</wp:posOffset>
            </wp:positionH>
            <wp:positionV relativeFrom="paragraph">
              <wp:posOffset>26035</wp:posOffset>
            </wp:positionV>
            <wp:extent cx="306705" cy="284480"/>
            <wp:effectExtent l="0" t="0" r="17145" b="1270"/>
            <wp:wrapNone/>
            <wp:docPr id="1" name="图片 1"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e69cce4380e02713697e955d1ffd9"/>
                    <pic:cNvPicPr>
                      <a:picLocks noChangeAspect="1"/>
                    </pic:cNvPicPr>
                  </pic:nvPicPr>
                  <pic:blipFill>
                    <a:blip r:embed="rId6"/>
                    <a:stretch>
                      <a:fillRect/>
                    </a:stretch>
                  </pic:blipFill>
                  <pic:spPr>
                    <a:xfrm>
                      <a:off x="0" y="0"/>
                      <a:ext cx="306705" cy="284480"/>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rFonts w:hint="eastAsia"/>
          <w:b/>
          <w:sz w:val="21"/>
        </w:rPr>
      </w:pPr>
      <w:r>
        <w:rPr>
          <w:rFonts w:hint="eastAsia"/>
          <w:b/>
          <w:sz w:val="21"/>
        </w:rPr>
        <w:t>北京国标联合认证有限公司</w:t>
      </w:r>
      <w:r>
        <w:rPr>
          <w:b/>
          <w:sz w:val="21"/>
        </w:rPr>
        <w:t>1</w:t>
      </w:r>
      <w:r>
        <w:rPr>
          <w:rFonts w:hint="eastAsia"/>
          <w:b/>
          <w:sz w:val="21"/>
        </w:rPr>
        <w:t>份</w:t>
      </w:r>
    </w:p>
    <w:p>
      <w:pPr>
        <w:snapToGrid w:val="0"/>
        <w:spacing w:line="320" w:lineRule="exact"/>
        <w:ind w:firstLine="316" w:firstLineChars="150"/>
        <w:rPr>
          <w:rFonts w:hint="eastAsia"/>
          <w:b/>
          <w:sz w:val="21"/>
        </w:rPr>
      </w:pPr>
    </w:p>
    <w:p>
      <w:pPr>
        <w:snapToGrid w:val="0"/>
        <w:spacing w:line="320" w:lineRule="exact"/>
        <w:ind w:firstLine="316" w:firstLineChars="150"/>
        <w:rPr>
          <w:rFonts w:hint="eastAsia"/>
          <w:b/>
          <w:sz w:val="21"/>
        </w:rPr>
      </w:pP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0ADFD"/>
    <w:multiLevelType w:val="singleLevel"/>
    <w:tmpl w:val="45C0ADFD"/>
    <w:lvl w:ilvl="0" w:tentative="0">
      <w:start w:val="11"/>
      <w:numFmt w:val="chineseCounting"/>
      <w:suff w:val="nothing"/>
      <w:lvlText w:val="%1、"/>
      <w:lvlJc w:val="left"/>
      <w:rPr>
        <w:rFonts w:hint="eastAsia"/>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7D2A0E"/>
    <w:rsid w:val="040D2BDC"/>
    <w:rsid w:val="043F36FB"/>
    <w:rsid w:val="05991C30"/>
    <w:rsid w:val="0A4D5B80"/>
    <w:rsid w:val="0AC34A3B"/>
    <w:rsid w:val="0E4A450D"/>
    <w:rsid w:val="0FA36902"/>
    <w:rsid w:val="136B6E2E"/>
    <w:rsid w:val="14F8471C"/>
    <w:rsid w:val="185F156C"/>
    <w:rsid w:val="19A731DE"/>
    <w:rsid w:val="19E23043"/>
    <w:rsid w:val="1ADE31BA"/>
    <w:rsid w:val="1D7C7584"/>
    <w:rsid w:val="1E786307"/>
    <w:rsid w:val="1EBC125D"/>
    <w:rsid w:val="1FB84DE0"/>
    <w:rsid w:val="22025D09"/>
    <w:rsid w:val="22B06A0C"/>
    <w:rsid w:val="23F96F14"/>
    <w:rsid w:val="245B1621"/>
    <w:rsid w:val="250F3E0A"/>
    <w:rsid w:val="257E6CC1"/>
    <w:rsid w:val="2C5C74E5"/>
    <w:rsid w:val="2C801122"/>
    <w:rsid w:val="2EB44308"/>
    <w:rsid w:val="2FB67603"/>
    <w:rsid w:val="3DD7412D"/>
    <w:rsid w:val="3E9B53C6"/>
    <w:rsid w:val="409A2793"/>
    <w:rsid w:val="41DE1558"/>
    <w:rsid w:val="41DE7F6C"/>
    <w:rsid w:val="421C2F96"/>
    <w:rsid w:val="429F4C00"/>
    <w:rsid w:val="478637FD"/>
    <w:rsid w:val="490F3AB8"/>
    <w:rsid w:val="4B8238A8"/>
    <w:rsid w:val="4E9C6029"/>
    <w:rsid w:val="4EFD1F59"/>
    <w:rsid w:val="4FBF16D4"/>
    <w:rsid w:val="4FC401B9"/>
    <w:rsid w:val="57233B8E"/>
    <w:rsid w:val="5B0153DC"/>
    <w:rsid w:val="5D4968D9"/>
    <w:rsid w:val="600B71F7"/>
    <w:rsid w:val="61566DFA"/>
    <w:rsid w:val="6203510C"/>
    <w:rsid w:val="63063C21"/>
    <w:rsid w:val="64D67A33"/>
    <w:rsid w:val="652E4A71"/>
    <w:rsid w:val="66DA7A17"/>
    <w:rsid w:val="67667326"/>
    <w:rsid w:val="69244429"/>
    <w:rsid w:val="694260D5"/>
    <w:rsid w:val="6CA44FC2"/>
    <w:rsid w:val="6DEB4EF8"/>
    <w:rsid w:val="6F0A7620"/>
    <w:rsid w:val="714360C5"/>
    <w:rsid w:val="71C30209"/>
    <w:rsid w:val="722A3758"/>
    <w:rsid w:val="73C23E2F"/>
    <w:rsid w:val="73D26321"/>
    <w:rsid w:val="73D36B05"/>
    <w:rsid w:val="76AC1D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2021-06-07T07:09:29Z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78ED3AB832E043DCA596D746D2A4F0C2</vt:lpwstr>
  </property>
</Properties>
</file>