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成都硕源恒科技有限公司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成都硕源恒科技有限公司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四川省成都市锦江区静康路769号1栋2单元8层11号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四川省成都市金牛区金府路666号1802</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王瑞</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18829841889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唐福英</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唐福英</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电力行业高效节能技术研发</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34.06.00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2020-12-17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auto"/>
                <w:kern w:val="2"/>
                <w:sz w:val="20"/>
                <w:szCs w:val="20"/>
                <w:lang w:val="en-US" w:eastAsia="zh-CN" w:bidi="ar-SA"/>
              </w:rPr>
            </w:pPr>
            <w:r>
              <w:rPr>
                <w:rFonts w:hint="eastAsia" w:ascii="宋体" w:hAnsi="宋体"/>
                <w:b/>
                <w:color w:val="auto"/>
                <w:sz w:val="20"/>
                <w:szCs w:val="20"/>
              </w:rPr>
              <w:t>管理层</w:t>
            </w:r>
          </w:p>
        </w:tc>
        <w:tc>
          <w:tcPr>
            <w:tcW w:w="6804" w:type="dxa"/>
            <w:vAlign w:val="top"/>
          </w:tcPr>
          <w:p>
            <w:pPr>
              <w:jc w:val="left"/>
              <w:rPr>
                <w:rFonts w:ascii="宋体" w:hAnsi="宋体" w:eastAsia="宋体" w:cs="Times New Roman"/>
                <w:b/>
                <w:color w:val="auto"/>
                <w:spacing w:val="-20"/>
                <w:kern w:val="2"/>
                <w:sz w:val="20"/>
                <w:szCs w:val="20"/>
                <w:u w:val="single"/>
                <w:lang w:val="en-US" w:eastAsia="zh-CN" w:bidi="ar-SA"/>
              </w:rPr>
            </w:pPr>
            <w:r>
              <w:rPr>
                <w:rFonts w:hint="eastAsia" w:ascii="宋体" w:hAnsi="宋体"/>
                <w:b/>
                <w:color w:val="auto"/>
                <w:spacing w:val="-20"/>
                <w:sz w:val="20"/>
                <w:szCs w:val="20"/>
              </w:rPr>
              <w:t>方针、目标管理；</w:t>
            </w:r>
            <w:r>
              <w:rPr>
                <w:rFonts w:hint="eastAsia" w:ascii="宋体" w:hAnsi="宋体"/>
                <w:b/>
                <w:sz w:val="20"/>
                <w:szCs w:val="20"/>
              </w:rPr>
              <w:t>内审管理；</w:t>
            </w:r>
            <w:r>
              <w:rPr>
                <w:rFonts w:hint="eastAsia" w:ascii="宋体" w:hAnsi="宋体"/>
                <w:b/>
                <w:color w:val="auto"/>
                <w:sz w:val="20"/>
                <w:szCs w:val="20"/>
              </w:rPr>
              <w:t>管理评审；</w:t>
            </w:r>
            <w:r>
              <w:rPr>
                <w:rFonts w:ascii="宋体" w:hAnsi="宋体"/>
                <w:b/>
                <w:color w:val="auto"/>
                <w:spacing w:val="-20"/>
                <w:sz w:val="20"/>
                <w:szCs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文件、记录控制程；</w:t>
            </w:r>
            <w:r>
              <w:rPr>
                <w:rFonts w:hint="eastAsia" w:ascii="宋体" w:hAnsi="宋体"/>
                <w:b/>
                <w:sz w:val="20"/>
                <w:szCs w:val="20"/>
              </w:rPr>
              <w:t>人</w:t>
            </w:r>
            <w:r>
              <w:rPr>
                <w:rFonts w:hint="eastAsia" w:ascii="宋体" w:hAnsi="宋体"/>
                <w:b/>
                <w:color w:val="000000" w:themeColor="text1"/>
                <w:sz w:val="20"/>
                <w:szCs w:val="20"/>
              </w:rPr>
              <w:t>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cs="Times New Roman"/>
                <w:b/>
                <w:color w:val="000000" w:themeColor="text1"/>
                <w:kern w:val="2"/>
                <w:sz w:val="20"/>
                <w:szCs w:val="20"/>
                <w:lang w:val="en-US" w:eastAsia="zh-CN" w:bidi="ar-SA"/>
              </w:rPr>
              <w:t>研发部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Cs w:val="21"/>
                <w:lang w:val="en-US" w:eastAsia="zh-CN"/>
              </w:rPr>
            </w:pPr>
            <w:r>
              <w:rPr>
                <w:rFonts w:hint="eastAsia" w:ascii="宋体" w:hAnsi="宋体"/>
                <w:b/>
                <w:color w:val="000000" w:themeColor="text1"/>
                <w:sz w:val="20"/>
                <w:szCs w:val="20"/>
                <w:lang w:val="en-US" w:eastAsia="zh-CN"/>
              </w:rPr>
              <w:t>市场部</w:t>
            </w:r>
          </w:p>
        </w:tc>
        <w:tc>
          <w:tcPr>
            <w:tcW w:w="6804" w:type="dxa"/>
          </w:tcPr>
          <w:p>
            <w:pPr>
              <w:rPr>
                <w:rFonts w:ascii="宋体" w:hAnsi="宋体"/>
                <w:b/>
                <w:color w:val="000000" w:themeColor="text1"/>
                <w:spacing w:val="-20"/>
                <w:szCs w:val="21"/>
                <w:u w:val="single"/>
              </w:rPr>
            </w:pPr>
            <w:r>
              <w:rPr>
                <w:rFonts w:hint="eastAsia" w:ascii="宋体" w:hAnsi="宋体"/>
                <w:b/>
                <w:color w:val="000000" w:themeColor="text1"/>
                <w:sz w:val="20"/>
                <w:szCs w:val="20"/>
              </w:rPr>
              <w:t>合同管理；采购管理；</w:t>
            </w:r>
            <w:r>
              <w:rPr>
                <w:rFonts w:hint="eastAsia" w:ascii="宋体" w:hAnsi="宋体"/>
                <w:b/>
                <w:color w:val="000000" w:themeColor="text1"/>
                <w:sz w:val="20"/>
                <w:szCs w:val="20"/>
                <w:lang w:val="en-US" w:eastAsia="zh-CN"/>
              </w:rPr>
              <w:t>顾客满意度调查</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电力行业高效节能技术研发</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eastAsia="宋体" w:cs="宋体"/>
                <w:sz w:val="21"/>
                <w:szCs w:val="21"/>
              </w:rPr>
              <w:t>电力系统安全稳定计算技术规范DL/T1234、电力系统电磁暂态现场试验导则DL /T 1041 -2007、柔性直流输电系统成套设计规范GB T 35703-2017、海上风电场风力发电机组基础技术要求GB/T 36569-2018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17</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ascii="Times New Roman" w:hAnsi="Times New Roman" w:eastAsia="宋体" w:cs="Times New Roman"/>
                <w:b/>
                <w:color w:val="000000" w:themeColor="text1"/>
                <w:kern w:val="2"/>
                <w:sz w:val="20"/>
                <w:szCs w:val="20"/>
                <w:lang w:val="en-US" w:eastAsia="zh-CN" w:bidi="ar-SA"/>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全</w:t>
            </w:r>
            <w:r>
              <w:rPr>
                <w:rFonts w:hint="eastAsia" w:ascii="宋体" w:hAnsi="宋体"/>
                <w:color w:val="000000" w:themeColor="text1"/>
              </w:rPr>
              <w:t>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240" w:lineRule="exact"/>
              <w:ind w:left="0" w:leftChars="0" w:firstLine="420" w:firstLineChars="200"/>
              <w:rPr>
                <w:rFonts w:hint="eastAsia"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3"/>
              </w:numPr>
              <w:spacing w:line="280" w:lineRule="exact"/>
              <w:rPr>
                <w:rFonts w:hint="eastAsia"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420" w:firstLineChars="200"/>
              <w:rPr>
                <w:rFonts w:ascii="Times New Roman" w:hAnsi="Times New Roman" w:eastAsia="宋体" w:cs="Times New Roman"/>
                <w:b/>
                <w:color w:val="000000" w:themeColor="text1"/>
                <w:kern w:val="2"/>
                <w:sz w:val="21"/>
                <w:szCs w:val="24"/>
                <w:lang w:val="en-US" w:eastAsia="zh-CN" w:bidi="ar-SA"/>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倾心关注客户利益；创建一流研发企业。真诚服务提升价值；持续改进追求卓越</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0"/>
              </w:numPr>
              <w:spacing w:line="240" w:lineRule="exact"/>
              <w:ind w:leftChars="0"/>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numPr>
                <w:ilvl w:val="0"/>
                <w:numId w:val="0"/>
              </w:numPr>
              <w:spacing w:line="240" w:lineRule="exact"/>
              <w:ind w:left="0" w:leftChars="0" w:firstLine="0" w:firstLineChars="0"/>
              <w:rPr>
                <w:rFonts w:hint="eastAsia" w:ascii="Times New Roman" w:hAnsi="Times New Roman" w:eastAsia="宋体" w:cs="Times New Roman"/>
                <w:b/>
                <w:color w:val="000000" w:themeColor="text1"/>
                <w:kern w:val="2"/>
                <w:sz w:val="21"/>
                <w:szCs w:val="24"/>
                <w:lang w:val="en-US" w:eastAsia="zh-CN" w:bidi="ar-SA"/>
              </w:rPr>
            </w:pPr>
            <w:r>
              <w:rPr>
                <w:rFonts w:hint="eastAsia" w:ascii="宋体" w:hAnsi="宋体"/>
                <w:color w:val="000000" w:themeColor="text1"/>
              </w:rPr>
              <w:t>制定并实施了相关程序和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质量管理体系过程有：</w:t>
            </w:r>
            <w:r>
              <w:rPr>
                <w:rFonts w:hint="eastAsia" w:ascii="宋体" w:hAnsi="宋体"/>
                <w:b/>
                <w:color w:val="000000" w:themeColor="text1"/>
                <w:sz w:val="20"/>
                <w:szCs w:val="20"/>
                <w:lang w:val="en-US" w:eastAsia="zh-CN"/>
              </w:rPr>
              <w:t>研发过程，评审过程，维护过程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研发过程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lang w:val="en-US" w:eastAsia="zh-CN"/>
              </w:rPr>
              <w:t>研发过程</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b/>
                <w:color w:val="000000" w:themeColor="text1"/>
                <w:sz w:val="20"/>
                <w:szCs w:val="20"/>
              </w:rPr>
              <w:pict>
                <v:shape id="_x0000_s2052" o:spid="_x0000_s2052"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3" o:spid="_x0000_s2053"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leftChars="0" w:hanging="211" w:hangingChars="100"/>
              <w:rPr>
                <w:rFonts w:ascii="宋体" w:hAnsi="宋体" w:eastAsia="宋体" w:cs="Times New Roman"/>
                <w:b/>
                <w:color w:val="000000" w:themeColor="text1"/>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ascii="宋体" w:hAnsi="宋体"/>
                <w:b/>
                <w:color w:val="000000" w:themeColor="text1"/>
                <w:spacing w:val="-4"/>
                <w:szCs w:val="21"/>
                <w:lang w:val="en-US" w:eastAsia="zh-CN"/>
              </w:rPr>
              <w:t>8.</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4"/>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产品/服务□环境因素□危险源，□确定 □未确定法律法规要求的具体条款，</w:t>
            </w: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电子文档宣传</w:t>
            </w: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r>
              <w:rPr>
                <w:rFonts w:hint="eastAsia" w:ascii="宋体" w:hAnsi="宋体"/>
                <w:b/>
                <w:color w:val="000000" w:themeColor="text1"/>
                <w:szCs w:val="21"/>
              </w:rPr>
              <w:t>□</w:t>
            </w:r>
            <w:r>
              <w:rPr>
                <w:rFonts w:hint="eastAsia" w:ascii="宋体" w:hAnsi="宋体"/>
                <w:b/>
                <w:color w:val="000000" w:themeColor="text1"/>
                <w:szCs w:val="21"/>
                <w:lang w:val="en-US" w:eastAsia="zh-CN"/>
              </w:rPr>
              <w:t>否</w:t>
            </w:r>
          </w:p>
          <w:p>
            <w:pPr>
              <w:tabs>
                <w:tab w:val="left" w:pos="0"/>
              </w:tabs>
              <w:spacing w:line="240" w:lineRule="exact"/>
              <w:rPr>
                <w:rFonts w:ascii="Times New Roman" w:hAnsi="Times New Roman" w:eastAsia="宋体" w:cs="Times New Roman"/>
                <w:b/>
                <w:color w:val="000000" w:themeColor="text1"/>
                <w:kern w:val="2"/>
                <w:sz w:val="14"/>
                <w:szCs w:val="1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240" w:lineRule="exact"/>
              <w:rPr>
                <w:rFonts w:hint="eastAsia" w:ascii="宋体" w:hAnsi="宋体"/>
                <w:b/>
                <w:color w:val="000000" w:themeColor="text1"/>
                <w:lang w:val="en-US" w:eastAsia="zh-CN"/>
              </w:rPr>
            </w:pPr>
            <w:r>
              <w:rPr>
                <w:rFonts w:hint="eastAsia" w:ascii="宋体" w:hAnsi="宋体"/>
                <w:b/>
                <w:color w:val="000000" w:themeColor="text1"/>
                <w:lang w:val="en-US" w:eastAsia="zh-CN"/>
              </w:rPr>
              <w:t>质量目标：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b w:val="0"/>
                <w:bCs/>
                <w:color w:val="000000" w:themeColor="text1"/>
                <w:kern w:val="2"/>
                <w:sz w:val="21"/>
                <w:szCs w:val="24"/>
                <w:lang w:val="en-US" w:eastAsia="zh-CN" w:bidi="ar-SA"/>
              </w:rPr>
            </w:pPr>
            <w:r>
              <w:rPr>
                <w:rFonts w:hint="default" w:ascii="宋体" w:hAnsi="宋体" w:eastAsia="宋体" w:cs="Times New Roman"/>
                <w:b w:val="0"/>
                <w:bCs/>
                <w:color w:val="000000" w:themeColor="text1"/>
                <w:kern w:val="2"/>
                <w:sz w:val="21"/>
                <w:szCs w:val="24"/>
                <w:lang w:val="en-US" w:eastAsia="zh-CN" w:bidi="ar-SA"/>
              </w:rPr>
              <w:t>客户满意度＞90%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b w:val="0"/>
                <w:bCs/>
                <w:color w:val="000000" w:themeColor="text1"/>
                <w:kern w:val="2"/>
                <w:sz w:val="21"/>
                <w:szCs w:val="24"/>
                <w:lang w:val="en-US" w:eastAsia="zh-CN" w:bidi="ar-SA"/>
              </w:rPr>
            </w:pPr>
            <w:r>
              <w:rPr>
                <w:rFonts w:hint="default" w:ascii="宋体" w:hAnsi="宋体" w:eastAsia="宋体" w:cs="Times New Roman"/>
                <w:b w:val="0"/>
                <w:bCs/>
                <w:color w:val="000000" w:themeColor="text1"/>
                <w:kern w:val="2"/>
                <w:sz w:val="21"/>
                <w:szCs w:val="24"/>
                <w:lang w:val="en-US" w:eastAsia="zh-CN" w:bidi="ar-SA"/>
              </w:rPr>
              <w:t>产品交付合格率100%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b/>
                <w:color w:val="000000" w:themeColor="text1"/>
                <w:kern w:val="2"/>
                <w:sz w:val="21"/>
                <w:szCs w:val="24"/>
                <w:lang w:val="en-US" w:eastAsia="zh-CN" w:bidi="ar-SA"/>
              </w:rPr>
            </w:pPr>
            <w:r>
              <w:rPr>
                <w:rFonts w:hint="default" w:ascii="宋体" w:hAnsi="宋体" w:eastAsia="宋体" w:cs="Times New Roman"/>
                <w:b w:val="0"/>
                <w:bCs/>
                <w:color w:val="000000" w:themeColor="text1"/>
                <w:kern w:val="2"/>
                <w:sz w:val="21"/>
                <w:szCs w:val="24"/>
                <w:lang w:val="en-US" w:eastAsia="zh-CN" w:bidi="ar-SA"/>
              </w:rPr>
              <w:t>合同按时间交付率100%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12</w:t>
            </w:r>
            <w:r>
              <w:rPr>
                <w:rFonts w:hint="eastAsia" w:ascii="宋体" w:hAnsi="宋体" w:cs="宋体"/>
                <w:color w:val="000000" w:themeColor="text1"/>
              </w:rPr>
              <w:t>月</w:t>
            </w:r>
            <w:r>
              <w:rPr>
                <w:rFonts w:hint="eastAsia" w:ascii="宋体" w:hAnsi="宋体" w:cs="宋体"/>
                <w:color w:val="000000" w:themeColor="text1"/>
                <w:lang w:val="en-US" w:eastAsia="zh-CN"/>
              </w:rPr>
              <w:t>17</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szCs w:val="21"/>
                <w:lang w:val="en-US" w:eastAsia="zh-CN"/>
              </w:rPr>
              <w:t>研发</w:t>
            </w:r>
            <w:r>
              <w:rPr>
                <w:rFonts w:hint="eastAsia" w:ascii="宋体" w:hAnsi="宋体"/>
                <w:bCs/>
                <w:iCs/>
                <w:szCs w:val="22"/>
              </w:rPr>
              <w:t>及相关服务运行环境，可以维持管理体系的正常运行。</w:t>
            </w:r>
          </w:p>
          <w:p>
            <w:pPr>
              <w:spacing w:line="300" w:lineRule="exact"/>
              <w:rPr>
                <w:rFonts w:ascii="宋体" w:hAnsi="宋体" w:eastAsia="宋体" w:cs="Times New Roman"/>
                <w:b/>
                <w:color w:val="000000" w:themeColor="text1"/>
                <w:kern w:val="2"/>
                <w:sz w:val="20"/>
                <w:szCs w:val="20"/>
                <w:lang w:val="en-US" w:eastAsia="zh-CN" w:bidi="ar-SA"/>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420" w:firstLineChars="200"/>
              <w:rPr>
                <w:rFonts w:ascii="宋体" w:hAnsi="宋体" w:eastAsia="宋体" w:cs="Times New Roman"/>
                <w:b/>
                <w:color w:val="000000" w:themeColor="text1"/>
                <w:kern w:val="2"/>
                <w:sz w:val="20"/>
                <w:szCs w:val="20"/>
                <w:lang w:val="en-US" w:eastAsia="zh-CN" w:bidi="ar-SA"/>
              </w:rPr>
            </w:pPr>
            <w:r>
              <w:rPr>
                <w:rFonts w:hint="eastAsia" w:ascii="宋体" w:hAnsi="宋体"/>
                <w:color w:val="000000" w:themeColor="text1"/>
                <w:szCs w:val="21"/>
              </w:rPr>
              <w:t>组织有</w:t>
            </w:r>
            <w:r>
              <w:rPr>
                <w:rFonts w:hint="eastAsia" w:ascii="宋体" w:hAnsi="宋体"/>
                <w:color w:val="000000" w:themeColor="text1"/>
                <w:szCs w:val="21"/>
                <w:highlight w:val="none"/>
                <w:lang w:val="en-US" w:eastAsia="zh-CN"/>
              </w:rPr>
              <w:t>办公</w:t>
            </w:r>
            <w:r>
              <w:rPr>
                <w:rFonts w:hint="eastAsia" w:ascii="宋体" w:hAnsi="宋体"/>
                <w:color w:val="000000" w:themeColor="text1"/>
                <w:szCs w:val="21"/>
                <w:highlight w:val="none"/>
              </w:rPr>
              <w:t>场地约</w:t>
            </w:r>
            <w:r>
              <w:rPr>
                <w:rFonts w:hint="eastAsia" w:ascii="宋体" w:hAnsi="宋体"/>
                <w:color w:val="000000" w:themeColor="text1"/>
                <w:szCs w:val="21"/>
                <w:highlight w:val="none"/>
                <w:lang w:val="en-US" w:eastAsia="zh-CN"/>
              </w:rPr>
              <w:t>50</w:t>
            </w:r>
            <w:r>
              <w:rPr>
                <w:rFonts w:hint="eastAsia" w:ascii="宋体" w:hAnsi="宋体"/>
                <w:color w:val="000000" w:themeColor="text1"/>
                <w:szCs w:val="21"/>
                <w:highlight w:val="none"/>
              </w:rPr>
              <w:t>平方左右</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主要设备包括：电脑</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打印机等</w:t>
            </w:r>
            <w:r>
              <w:rPr>
                <w:rFonts w:hint="eastAsia" w:ascii="宋体" w:hAnsi="宋体"/>
                <w:color w:val="000000" w:themeColor="text1"/>
                <w:szCs w:val="21"/>
                <w:highlight w:val="none"/>
              </w:rPr>
              <w:t>办公设备等，可以满足</w:t>
            </w:r>
            <w:r>
              <w:rPr>
                <w:rFonts w:hint="eastAsia" w:ascii="宋体" w:hAnsi="宋体"/>
                <w:color w:val="000000" w:themeColor="text1"/>
                <w:szCs w:val="21"/>
                <w:highlight w:val="none"/>
                <w:lang w:val="en-US" w:eastAsia="zh-CN"/>
              </w:rPr>
              <w:t>技术开发</w:t>
            </w:r>
            <w:r>
              <w:rPr>
                <w:rFonts w:hint="eastAsia" w:ascii="宋体" w:hAnsi="宋体"/>
                <w:color w:val="000000" w:themeColor="text1"/>
                <w:szCs w:val="21"/>
                <w:highlight w:val="none"/>
              </w:rPr>
              <w:t>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eastAsia="宋体" w:cs="Times New Roman"/>
                <w:b/>
                <w:color w:val="000000" w:themeColor="text1"/>
                <w:kern w:val="2"/>
                <w:sz w:val="20"/>
                <w:szCs w:val="20"/>
                <w:lang w:val="en-US" w:eastAsia="zh-CN" w:bidi="ar-SA"/>
              </w:rPr>
            </w:pPr>
            <w:r>
              <w:rPr>
                <w:rFonts w:hint="eastAsia" w:ascii="宋体" w:hAnsi="宋体" w:cs="宋体"/>
                <w:szCs w:val="21"/>
                <w:lang w:val="en-US" w:eastAsia="zh-CN"/>
              </w:rPr>
              <w:t>加工场所</w:t>
            </w:r>
            <w:r>
              <w:rPr>
                <w:rFonts w:hint="eastAsia" w:ascii="宋体" w:hAnsi="宋体" w:cs="宋体"/>
                <w:szCs w:val="21"/>
              </w:rPr>
              <w:t>内设备布置合理，通道畅通，照明设施齐全，均配备了消防设施等设施。办公室明亮，作业场所光线较充足。每月由</w:t>
            </w:r>
            <w:r>
              <w:rPr>
                <w:rFonts w:hint="eastAsia" w:ascii="宋体" w:hAnsi="宋体" w:cs="宋体"/>
                <w:szCs w:val="21"/>
                <w:lang w:val="en-US"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ind w:firstLine="402" w:firstLineChars="200"/>
              <w:rPr>
                <w:rFonts w:hint="default" w:ascii="宋体" w:hAnsi="宋体" w:eastAsia="宋体" w:cs="Times New Roman"/>
                <w:b/>
                <w:color w:val="000000" w:themeColor="text1"/>
                <w:kern w:val="2"/>
                <w:sz w:val="20"/>
                <w:szCs w:val="20"/>
                <w:lang w:val="en-US" w:eastAsia="zh-CN" w:bidi="ar-SA"/>
              </w:rPr>
            </w:pPr>
            <w:r>
              <w:rPr>
                <w:rFonts w:hint="eastAsia" w:ascii="宋体" w:hAnsi="宋体" w:cs="Times New Roman"/>
                <w:b/>
                <w:color w:val="000000" w:themeColor="text1"/>
                <w:kern w:val="2"/>
                <w:sz w:val="20"/>
                <w:szCs w:val="20"/>
                <w:highlight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firstLine="420" w:firstLineChars="200"/>
              <w:rPr>
                <w:rFonts w:hint="eastAsia" w:ascii="Times New Roman" w:hAnsi="Times New Roman" w:eastAsia="宋体" w:cs="Times New Roman"/>
                <w:b/>
                <w:color w:val="000000" w:themeColor="text1"/>
                <w:kern w:val="2"/>
                <w:sz w:val="20"/>
                <w:szCs w:val="20"/>
                <w:lang w:val="en-US" w:eastAsia="zh-CN" w:bidi="ar-SA"/>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val="en-US" w:eastAsia="zh-CN"/>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hAnsi="Times New Roman" w:eastAsia="楷体_GB2312" w:cs="Times New Roman"/>
                <w:b/>
                <w:color w:val="000000" w:themeColor="text1"/>
                <w:kern w:val="2"/>
                <w:sz w:val="21"/>
                <w:szCs w:val="21"/>
                <w:lang w:val="en-US" w:eastAsia="zh-CN" w:bidi="ar-SA"/>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公司在体系文件中，规定了公司各管理层次（如质量职能部门）和在各阶段对</w:t>
            </w:r>
            <w:r>
              <w:rPr>
                <w:rFonts w:hint="eastAsia" w:ascii="宋体" w:hAnsi="宋体" w:cs="宋体"/>
                <w:color w:val="000000"/>
                <w:szCs w:val="21"/>
                <w:lang w:val="en-US" w:eastAsia="zh-CN"/>
              </w:rPr>
              <w:t>软件开发</w:t>
            </w:r>
            <w:r>
              <w:rPr>
                <w:rFonts w:hint="eastAsia" w:ascii="宋体" w:hAnsi="宋体" w:cs="宋体"/>
                <w:color w:val="000000"/>
                <w:szCs w:val="21"/>
              </w:rPr>
              <w:t>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销售服务过程，从审核过程看，公司的产品质量管理基本受控。</w:t>
            </w:r>
            <w:r>
              <w:rPr>
                <w:rFonts w:hint="eastAsia" w:ascii="宋体" w:hAnsi="宋体" w:cs="宋体"/>
                <w:color w:val="auto"/>
                <w:szCs w:val="21"/>
              </w:rPr>
              <w:t>QMS关键工序：</w:t>
            </w:r>
            <w:r>
              <w:rPr>
                <w:rFonts w:hint="eastAsia" w:ascii="宋体" w:hAnsi="宋体" w:cs="宋体"/>
                <w:color w:val="auto"/>
                <w:szCs w:val="21"/>
                <w:lang w:val="en-US" w:eastAsia="zh-CN"/>
              </w:rPr>
              <w:t xml:space="preserve">研发过程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w:t>
            </w:r>
            <w:r>
              <w:rPr>
                <w:rFonts w:hint="eastAsia" w:ascii="宋体" w:hAnsi="宋体" w:cs="宋体"/>
                <w:color w:val="000000"/>
                <w:szCs w:val="21"/>
                <w:lang w:val="en-US" w:eastAsia="zh-CN"/>
              </w:rPr>
              <w:t>研发</w:t>
            </w:r>
            <w:r>
              <w:rPr>
                <w:rFonts w:hint="eastAsia" w:ascii="宋体" w:hAnsi="宋体" w:cs="宋体"/>
                <w:color w:val="000000"/>
                <w:szCs w:val="21"/>
              </w:rPr>
              <w:t>控制规定，规定了公司各管理层次和</w:t>
            </w:r>
            <w:r>
              <w:rPr>
                <w:rFonts w:hint="eastAsia" w:ascii="宋体" w:hAnsi="宋体" w:cs="宋体"/>
                <w:color w:val="000000"/>
                <w:szCs w:val="21"/>
                <w:lang w:val="en-US" w:eastAsia="zh-CN"/>
              </w:rPr>
              <w:t>技术部</w:t>
            </w:r>
            <w:r>
              <w:rPr>
                <w:rFonts w:hint="eastAsia" w:ascii="宋体" w:hAnsi="宋体" w:cs="宋体"/>
                <w:color w:val="000000"/>
                <w:szCs w:val="21"/>
              </w:rPr>
              <w:t>在各阶段对服务质量实施检查与验收的管理要求。内容基本具备全面性、系统性及可操作性。质量检查与验收均在交付前予以实现，范围包括：过程、最终产品。以此保证持续向顾客稳定提供稳定合格的产品。</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420" w:firstLineChars="20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.1</w:t>
            </w:r>
            <w:r>
              <w:rPr>
                <w:rFonts w:hint="eastAsia" w:ascii="宋体" w:hAnsi="宋体" w:cs="宋体"/>
                <w:color w:val="000000"/>
                <w:szCs w:val="21"/>
                <w:lang w:val="en-US" w:eastAsia="zh-CN"/>
              </w:rPr>
              <w:t>2</w:t>
            </w:r>
            <w:r>
              <w:rPr>
                <w:rFonts w:hint="eastAsia" w:ascii="宋体" w:hAnsi="宋体" w:cs="宋体"/>
                <w:color w:val="000000"/>
                <w:szCs w:val="21"/>
              </w:rPr>
              <w:t>月-20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4</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5"/>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240" w:lineRule="exact"/>
              <w:ind w:left="-105" w:leftChars="-50" w:firstLine="420" w:firstLineChars="200"/>
              <w:rPr>
                <w:rFonts w:hint="eastAsia"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2月</w:t>
            </w:r>
            <w:r>
              <w:rPr>
                <w:rFonts w:hint="eastAsia" w:ascii="宋体" w:hAnsi="宋体" w:cs="宋体"/>
                <w:color w:val="000000"/>
                <w:szCs w:val="21"/>
              </w:rPr>
              <w:t>满意度评价</w:t>
            </w:r>
            <w:r>
              <w:rPr>
                <w:rFonts w:hint="eastAsia" w:ascii="宋体" w:hAnsi="宋体" w:cs="宋体"/>
                <w:color w:val="000000"/>
                <w:szCs w:val="21"/>
                <w:lang w:val="en-US" w:eastAsia="zh-CN"/>
              </w:rPr>
              <w:t>96</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420" w:firstLineChars="200"/>
              <w:rPr>
                <w:b/>
                <w:color w:val="000000" w:themeColor="text1"/>
                <w:spacing w:val="-8"/>
                <w:sz w:val="20"/>
                <w:szCs w:val="20"/>
              </w:rPr>
            </w:pPr>
            <w:r>
              <w:rPr>
                <w:rFonts w:hint="eastAsia"/>
                <w:szCs w:val="21"/>
              </w:rPr>
              <w:t>建立有《内部审核控制程序》，规定了内审频次一年一次，内审时间：202</w:t>
            </w:r>
            <w:r>
              <w:rPr>
                <w:rFonts w:hint="eastAsia"/>
                <w:szCs w:val="21"/>
                <w:lang w:val="en-US" w:eastAsia="zh-CN"/>
              </w:rPr>
              <w:t>1</w:t>
            </w:r>
            <w:r>
              <w:rPr>
                <w:rFonts w:hint="eastAsia"/>
                <w:szCs w:val="21"/>
              </w:rPr>
              <w:t xml:space="preserve">年 </w:t>
            </w:r>
            <w:r>
              <w:rPr>
                <w:rFonts w:hint="eastAsia"/>
                <w:szCs w:val="21"/>
                <w:lang w:val="en-US" w:eastAsia="zh-CN"/>
              </w:rPr>
              <w:t>4</w:t>
            </w:r>
            <w:r>
              <w:rPr>
                <w:rFonts w:hint="eastAsia"/>
                <w:szCs w:val="21"/>
              </w:rPr>
              <w:t>月</w:t>
            </w:r>
            <w:r>
              <w:rPr>
                <w:rFonts w:hint="eastAsia"/>
                <w:szCs w:val="21"/>
                <w:lang w:val="en-US" w:eastAsia="zh-CN"/>
              </w:rPr>
              <w:t>5</w:t>
            </w:r>
            <w:r>
              <w:rPr>
                <w:rFonts w:hint="eastAsia"/>
                <w:szCs w:val="21"/>
              </w:rPr>
              <w:t>日，拟定了审核实施表，明确了内审范围，内审人员经培训合格上岗，能力满足要求，未出现审核本部门情况，内审不符合项1项，涉及</w:t>
            </w:r>
            <w:r>
              <w:rPr>
                <w:rFonts w:hint="eastAsia"/>
                <w:szCs w:val="21"/>
                <w:lang w:val="en-US" w:eastAsia="zh-CN"/>
              </w:rPr>
              <w:t>行政部7.5.3</w:t>
            </w:r>
            <w:r>
              <w:rPr>
                <w:rFonts w:hint="eastAsia"/>
                <w:szCs w:val="21"/>
              </w:rPr>
              <w:t>条款，不符合事实描述</w:t>
            </w:r>
            <w:r>
              <w:rPr>
                <w:rFonts w:hint="eastAsia" w:ascii="宋体" w:hAnsi="宋体" w:cs="宋体"/>
                <w:color w:val="000000"/>
                <w:szCs w:val="21"/>
                <w:lang w:eastAsia="zh-CN"/>
              </w:rPr>
              <w:t>行政部外来文件清单中版本未及时更新，</w:t>
            </w:r>
            <w:r>
              <w:rPr>
                <w:rFonts w:hint="eastAsia"/>
                <w:szCs w:val="21"/>
              </w:rPr>
              <w:t>针对该不符合项，已及时采取纠正措施后，经内审员验证关闭。内审的有效性需要改善。</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Cs w:val="21"/>
              </w:rPr>
              <w:t>管理评审频次为一年一次、本次管理评审于202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29</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ascii="Times New Roman" w:hAnsi="Times New Roman" w:eastAsia="宋体" w:cs="Times New Roman"/>
                <w:b/>
                <w:color w:val="000000" w:themeColor="text1"/>
                <w:spacing w:val="-20"/>
                <w:kern w:val="2"/>
                <w:sz w:val="20"/>
                <w:szCs w:val="20"/>
                <w:lang w:val="en-US" w:eastAsia="zh-CN" w:bidi="ar-SA"/>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5"/>
              </w:numPr>
              <w:spacing w:line="240" w:lineRule="exact"/>
              <w:ind w:left="100" w:leftChars="0" w:hanging="100" w:hangingChars="50"/>
              <w:rPr>
                <w:rFonts w:hint="eastAsia"/>
                <w:b/>
                <w:color w:val="000000" w:themeColor="text1"/>
                <w:sz w:val="20"/>
                <w:szCs w:val="20"/>
              </w:rPr>
            </w:pPr>
            <w:r>
              <w:rPr>
                <w:rFonts w:hint="eastAsia"/>
                <w:b/>
                <w:color w:val="000000" w:themeColor="text1"/>
                <w:sz w:val="20"/>
                <w:szCs w:val="20"/>
              </w:rPr>
              <w:t>创新情况</w:t>
            </w:r>
          </w:p>
          <w:p>
            <w:pPr>
              <w:numPr>
                <w:ilvl w:val="0"/>
                <w:numId w:val="0"/>
              </w:numPr>
              <w:spacing w:line="240" w:lineRule="exact"/>
              <w:ind w:left="-105" w:leftChars="-50" w:firstLine="0" w:firstLineChars="0"/>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5"/>
              </w:numPr>
              <w:spacing w:line="240" w:lineRule="exact"/>
              <w:ind w:left="105" w:leftChars="0" w:hanging="105" w:hangingChars="50"/>
              <w:rPr>
                <w:rFonts w:hint="eastAsia"/>
                <w:b/>
                <w:color w:val="000000" w:themeColor="text1"/>
                <w:szCs w:val="21"/>
              </w:rPr>
            </w:pPr>
            <w:r>
              <w:rPr>
                <w:rFonts w:hint="eastAsia"/>
                <w:b/>
                <w:color w:val="000000" w:themeColor="text1"/>
                <w:szCs w:val="21"/>
              </w:rPr>
              <w:t>上次不符合的整改情况（再认证填写）</w:t>
            </w:r>
          </w:p>
          <w:p>
            <w:pPr>
              <w:numPr>
                <w:ilvl w:val="0"/>
                <w:numId w:val="0"/>
              </w:numPr>
              <w:spacing w:line="240" w:lineRule="exact"/>
              <w:ind w:left="-105" w:leftChars="-50" w:firstLine="0" w:firstLineChars="0"/>
              <w:rPr>
                <w:rFonts w:hint="eastAsia" w:ascii="Times New Roman" w:hAnsi="Times New Roman" w:eastAsia="宋体" w:cs="Times New Roman"/>
                <w:b/>
                <w:color w:val="000000" w:themeColor="text1"/>
                <w:kern w:val="2"/>
                <w:sz w:val="21"/>
                <w:szCs w:val="21"/>
                <w:lang w:val="en-US" w:eastAsia="zh-CN" w:bidi="ar-SA"/>
              </w:rPr>
            </w:pPr>
            <w:r>
              <w:rPr>
                <w:rFonts w:hint="eastAsia"/>
                <w:b/>
                <w:color w:val="000000" w:themeColor="text1"/>
                <w:szCs w:val="21"/>
                <w:lang w:val="en-US" w:eastAsia="zh-CN"/>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4"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val="en-US" w:eastAsia="zh-CN"/>
        </w:rPr>
        <w:t>研发</w:t>
      </w:r>
      <w:r>
        <w:rPr>
          <w:rFonts w:hint="eastAsia"/>
          <w:b/>
          <w:color w:val="000000" w:themeColor="text1"/>
        </w:rPr>
        <w:t>部门</w:t>
      </w:r>
      <w:r>
        <w:rPr>
          <w:rFonts w:hint="eastAsia"/>
          <w:b/>
          <w:color w:val="000000" w:themeColor="text1"/>
          <w:lang w:val="en-US" w:eastAsia="zh-CN"/>
        </w:rPr>
        <w:t>8.5.1</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rFonts w:ascii="Times New Roman" w:hAnsi="Times New Roman" w:eastAsia="宋体" w:cs="Times New Roman"/>
                <w:b/>
                <w:color w:val="000000" w:themeColor="text1"/>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default" w:ascii="宋体" w:hAnsi="宋体" w:eastAsia="宋体"/>
                <w:b/>
                <w:color w:val="000000" w:themeColor="text1"/>
                <w:u w:val="single"/>
                <w:lang w:val="en-US" w:eastAsia="zh-CN"/>
              </w:rPr>
            </w:pPr>
            <w:r>
              <w:rPr>
                <w:rFonts w:ascii="宋体" w:hAnsi="宋体"/>
                <w:b/>
                <w:color w:val="000000" w:themeColor="text1"/>
              </w:rPr>
              <w:t>QMS:</w:t>
            </w:r>
            <w:r>
              <w:rPr>
                <w:rFonts w:hint="eastAsia" w:ascii="宋体" w:hAnsi="宋体"/>
                <w:b/>
                <w:color w:val="000000" w:themeColor="text1"/>
                <w:lang w:val="en-US" w:eastAsia="zh-CN"/>
              </w:rPr>
              <w:t>电力行业高效节能技术研发</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rFonts w:ascii="Times New Roman" w:hAnsi="Times New Roman" w:eastAsia="宋体" w:cs="Times New Roman"/>
                <w:b/>
                <w:color w:val="000000" w:themeColor="text1"/>
                <w:spacing w:val="-1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vAlign w:val="top"/>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4"/>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rFonts w:ascii="Times New Roman" w:hAnsi="Times New Roman" w:eastAsia="宋体" w:cs="Times New Roman"/>
                <w:b/>
                <w:color w:val="000000" w:themeColor="text1"/>
                <w:spacing w:val="-10"/>
                <w:kern w:val="2"/>
                <w:sz w:val="16"/>
                <w:szCs w:val="16"/>
                <w:lang w:val="en-US" w:eastAsia="zh-CN" w:bidi="ar-SA"/>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rPr>
          <w:rFonts w:hint="eastAsia" w:eastAsia="宋体"/>
          <w:lang w:eastAsia="zh-CN"/>
        </w:rPr>
        <w:drawing>
          <wp:anchor distT="0" distB="0" distL="114300" distR="114300" simplePos="0" relativeHeight="251663360" behindDoc="0" locked="0" layoutInCell="1" allowOverlap="1">
            <wp:simplePos x="0" y="0"/>
            <wp:positionH relativeFrom="column">
              <wp:posOffset>1642745</wp:posOffset>
            </wp:positionH>
            <wp:positionV relativeFrom="paragraph">
              <wp:posOffset>-62865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eastAsia="宋体" w:cs="宋体"/>
          <w:b/>
          <w:color w:val="000000" w:themeColor="text1"/>
          <w:spacing w:val="-10"/>
          <w:szCs w:val="21"/>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eastAsia="宋体"/>
          <w:b/>
          <w:color w:val="000000" w:themeColor="text1"/>
          <w:szCs w:val="21"/>
          <w:lang w:val="en-US" w:eastAsia="zh-CN"/>
        </w:rPr>
      </w:pPr>
      <w:r>
        <w:rPr>
          <w:rFonts w:hint="eastAsia" w:eastAsia="宋体"/>
          <w:lang w:eastAsia="zh-CN"/>
        </w:rPr>
        <w:drawing>
          <wp:anchor distT="0" distB="0" distL="114300" distR="114300" simplePos="0" relativeHeight="251664384" behindDoc="0" locked="0" layoutInCell="1" allowOverlap="1">
            <wp:simplePos x="0" y="0"/>
            <wp:positionH relativeFrom="column">
              <wp:posOffset>795020</wp:posOffset>
            </wp:positionH>
            <wp:positionV relativeFrom="paragraph">
              <wp:posOffset>208915</wp:posOffset>
            </wp:positionV>
            <wp:extent cx="544830" cy="248920"/>
            <wp:effectExtent l="0" t="0" r="3810" b="10160"/>
            <wp:wrapNone/>
            <wp:docPr id="3" name="图片 3"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2021年6月10日</w:t>
      </w:r>
      <w:bookmarkStart w:id="22" w:name="_GoBack"/>
      <w:bookmarkEnd w:id="22"/>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D6112"/>
    <w:multiLevelType w:val="singleLevel"/>
    <w:tmpl w:val="FC0D6112"/>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5AB33B"/>
    <w:multiLevelType w:val="singleLevel"/>
    <w:tmpl w:val="705AB33B"/>
    <w:lvl w:ilvl="0" w:tentative="0">
      <w:start w:val="3"/>
      <w:numFmt w:val="decimal"/>
      <w:lvlText w:val="%1."/>
      <w:lvlJc w:val="left"/>
      <w:pPr>
        <w:tabs>
          <w:tab w:val="left" w:pos="312"/>
        </w:tabs>
      </w:pPr>
    </w:lvl>
  </w:abstractNum>
  <w:abstractNum w:abstractNumId="4">
    <w:nsid w:val="7D756509"/>
    <w:multiLevelType w:val="singleLevel"/>
    <w:tmpl w:val="7D756509"/>
    <w:lvl w:ilvl="0" w:tentative="0">
      <w:start w:val="2"/>
      <w:numFmt w:val="decimal"/>
      <w:lvlText w:val="%1."/>
      <w:lvlJc w:val="left"/>
      <w:pPr>
        <w:tabs>
          <w:tab w:val="left" w:pos="312"/>
        </w:tabs>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5BE233B"/>
    <w:rsid w:val="66EA37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sz w:val="24"/>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生</cp:lastModifiedBy>
  <cp:lastPrinted>2019-05-13T03:19:00Z</cp:lastPrinted>
  <dcterms:modified xsi:type="dcterms:W3CDTF">2021-06-10T02:27:56Z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11F358BD4BA341A9B8A406A86D698524</vt:lpwstr>
  </property>
</Properties>
</file>