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天津贵和鸿兴钢结构工程有限公司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姜小清</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E：GB/T 24001-2016/ISO14001:2015,O：GB/T45001-2020 / ISO45001：2018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天津贵和鸿兴钢结构工程有限公司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天津市北辰区小淀镇津围公路东(天津市金马阀门控制设备厂院内)</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300404</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天津市武清区崔黄口电子产业园大地世贸西门</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301702</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刘玉香</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13802139616</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程立江</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张淑芬</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E：钢结构加工(法规强制要求范围除外)所涉及的相关环境管理活动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O：钢结构加工(法规强制要求范围除外)所涉及的相关职业健康安全管理活动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E：17.06.01</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O：17.06.01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2020-04-10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