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7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209"/>
        <w:gridCol w:w="1166"/>
        <w:gridCol w:w="1512"/>
        <w:gridCol w:w="1295"/>
        <w:gridCol w:w="1513"/>
        <w:gridCol w:w="1727"/>
        <w:gridCol w:w="13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212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48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江西广泉专用汽车制造有限公司</w:t>
            </w:r>
            <w:bookmarkEnd w:id="4"/>
          </w:p>
        </w:tc>
        <w:tc>
          <w:tcPr>
            <w:tcW w:w="172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8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Q：22.01.00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E：22.01.00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O：22.01.00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212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谢建辉</w:t>
            </w:r>
          </w:p>
        </w:tc>
        <w:tc>
          <w:tcPr>
            <w:tcW w:w="12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1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Q：22.01.00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E：22.01.00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O：22.01.00</w:t>
            </w:r>
          </w:p>
        </w:tc>
        <w:tc>
          <w:tcPr>
            <w:tcW w:w="17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91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0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9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bookmarkStart w:id="6" w:name="_GoBack"/>
            <w:bookmarkEnd w:id="6"/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12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97" w:type="dxa"/>
            <w:gridSpan w:val="6"/>
            <w:vAlign w:val="center"/>
          </w:tcPr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原材料采购—进货检验—激光切割—折弯工序—焊接工序—组装工序—总检—整车出厂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212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597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主要是各工序作业的风险，制定了相应的作业指导书。</w:t>
            </w:r>
          </w:p>
          <w:p>
            <w:pPr>
              <w:snapToGrid w:val="0"/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特殊过程：焊接工序，有焊接工序作业指导书和安全操作规程。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12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97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重要环境因素：固体废物排放、潜在火灾、噪声排放、废气的排放。制定</w:t>
            </w:r>
            <w:r>
              <w:rPr>
                <w:rFonts w:hint="eastAsia"/>
                <w:b/>
                <w:bCs/>
                <w:sz w:val="20"/>
                <w:szCs w:val="20"/>
              </w:rPr>
              <w:t>废弃物控制程序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消防控制程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序等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12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97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不可接受风险源：机械伤害、噪声排放 、潜在火灾、触电伤害，制定</w:t>
            </w:r>
            <w:r>
              <w:rPr>
                <w:rFonts w:hint="eastAsia"/>
                <w:b/>
                <w:bCs/>
                <w:sz w:val="20"/>
                <w:szCs w:val="20"/>
              </w:rPr>
              <w:t>劳动防护用品控制程序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应急准备和响应控制程序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消防控制程序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2" w:hRule="atLeast"/>
          <w:jc w:val="center"/>
        </w:trPr>
        <w:tc>
          <w:tcPr>
            <w:tcW w:w="212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97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中华人民共和国职业病防治法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中华人民共和国消防法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中华人民共和国安全生产法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中华人民共和国环境保护法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中华人民共和国大气污染防治法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工业企业厂界环境噪声排放标准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GB1589-2016  汽车、挂车及汽车列车外廓尺寸、轴荷及质量限值、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GB/T14172-2009 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 《汽车静倾翻稳定性台架试验方法》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GB16735-2004 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 《道路车辆 车辆识别代号（VIN）、</w:t>
            </w: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GB19151-2003 《机动车用三角警告牌》 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、</w:t>
            </w: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GB7258-2017 《机动车运行安全技术条件》</w:t>
            </w:r>
          </w:p>
          <w:p>
            <w:pPr>
              <w:pStyle w:val="2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QC/T252-1998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《专用汽车定型检验规程》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、</w:t>
            </w: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QC/T453-2002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厢式运输车（江西广泉专用汽车制造有限公司企业技术 条件）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、</w:t>
            </w: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2010-11-1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   汽车产品定型试验及报告要求2016  、车辆产品《公告》技术审查规范性要求（汽 ［车部分）、</w:t>
            </w: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Q/GQH001-2019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  殡仪车技术条件等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212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597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外观尺寸、制动、淋雨试验等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2121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97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(专业人员)： 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谢建辉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2021.6.19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    审核组长： 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褚敏杰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2021.6.19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410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3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2021-06-20T01:54:29Z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