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drawing>
          <wp:anchor distT="0" distB="0" distL="114300" distR="114300" simplePos="0" relativeHeight="251658240" behindDoc="1" locked="0" layoutInCell="1" allowOverlap="1">
            <wp:simplePos x="0" y="0"/>
            <wp:positionH relativeFrom="column">
              <wp:posOffset>2155825</wp:posOffset>
            </wp:positionH>
            <wp:positionV relativeFrom="paragraph">
              <wp:posOffset>-467360</wp:posOffset>
            </wp:positionV>
            <wp:extent cx="1724025" cy="1490345"/>
            <wp:effectExtent l="0" t="0" r="0" b="14605"/>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a:stretch>
                      <a:fillRect/>
                    </a:stretch>
                  </pic:blipFill>
                  <pic:spPr>
                    <a:xfrm>
                      <a:off x="0" y="0"/>
                      <a:ext cx="1724025" cy="1490345"/>
                    </a:xfrm>
                    <a:prstGeom prst="rect">
                      <a:avLst/>
                    </a:prstGeom>
                    <a:noFill/>
                    <a:ln>
                      <a:noFill/>
                    </a:ln>
                  </pic:spPr>
                </pic:pic>
              </a:graphicData>
            </a:graphic>
          </wp:anchor>
        </w:drawing>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受审核方：江西锐盾智能科技有限公司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62"/>
        <w:gridCol w:w="1146"/>
        <w:gridCol w:w="2836"/>
        <w:gridCol w:w="684"/>
        <w:gridCol w:w="100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1007" w:type="dxa"/>
          </w:tcPr>
          <w:p>
            <w:pPr>
              <w:rPr>
                <w:b/>
                <w:sz w:val="21"/>
                <w:szCs w:val="21"/>
              </w:rPr>
            </w:pPr>
            <w:r>
              <w:rPr>
                <w:rFonts w:hint="eastAsia"/>
                <w:b/>
                <w:sz w:val="21"/>
                <w:szCs w:val="21"/>
              </w:rPr>
              <w:t>邮编</w:t>
            </w:r>
          </w:p>
        </w:tc>
        <w:tc>
          <w:tcPr>
            <w:tcW w:w="1457"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62" w:type="dxa"/>
            <w:vAlign w:val="center"/>
          </w:tcPr>
          <w:p>
            <w:pPr>
              <w:jc w:val="center"/>
              <w:rPr>
                <w:b/>
                <w:sz w:val="21"/>
                <w:szCs w:val="21"/>
              </w:rPr>
            </w:pPr>
            <w:r>
              <w:rPr>
                <w:rFonts w:hint="eastAsia"/>
                <w:b/>
                <w:sz w:val="21"/>
                <w:szCs w:val="21"/>
              </w:rPr>
              <w:t>职务</w:t>
            </w:r>
          </w:p>
        </w:tc>
        <w:tc>
          <w:tcPr>
            <w:tcW w:w="1146" w:type="dxa"/>
            <w:vAlign w:val="center"/>
          </w:tcPr>
          <w:p>
            <w:pPr>
              <w:jc w:val="center"/>
              <w:rPr>
                <w:b/>
                <w:sz w:val="21"/>
                <w:szCs w:val="21"/>
              </w:rPr>
            </w:pPr>
            <w:r>
              <w:rPr>
                <w:rFonts w:hint="eastAsia"/>
                <w:b/>
                <w:sz w:val="21"/>
                <w:szCs w:val="21"/>
              </w:rPr>
              <w:t>注册级别</w:t>
            </w:r>
          </w:p>
        </w:tc>
        <w:tc>
          <w:tcPr>
            <w:tcW w:w="2836" w:type="dxa"/>
            <w:vAlign w:val="center"/>
          </w:tcPr>
          <w:p>
            <w:pPr>
              <w:jc w:val="center"/>
              <w:rPr>
                <w:b/>
                <w:sz w:val="21"/>
                <w:szCs w:val="21"/>
              </w:rPr>
            </w:pPr>
            <w:r>
              <w:rPr>
                <w:rFonts w:hint="eastAsia"/>
                <w:b/>
                <w:sz w:val="21"/>
                <w:szCs w:val="21"/>
              </w:rPr>
              <w:t>审核员注册号</w:t>
            </w:r>
          </w:p>
        </w:tc>
        <w:tc>
          <w:tcPr>
            <w:tcW w:w="1691" w:type="dxa"/>
            <w:gridSpan w:val="2"/>
            <w:vAlign w:val="center"/>
          </w:tcPr>
          <w:p>
            <w:pPr>
              <w:jc w:val="center"/>
              <w:rPr>
                <w:b/>
                <w:sz w:val="21"/>
                <w:szCs w:val="21"/>
              </w:rPr>
            </w:pPr>
            <w:r>
              <w:rPr>
                <w:rFonts w:hint="eastAsia"/>
                <w:b/>
                <w:sz w:val="21"/>
                <w:szCs w:val="21"/>
              </w:rPr>
              <w:t>专业代码</w:t>
            </w:r>
          </w:p>
        </w:tc>
        <w:tc>
          <w:tcPr>
            <w:tcW w:w="1457"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褚敏杰</w:t>
            </w:r>
          </w:p>
        </w:tc>
        <w:tc>
          <w:tcPr>
            <w:tcW w:w="824" w:type="dxa"/>
            <w:gridSpan w:val="2"/>
            <w:vAlign w:val="center"/>
          </w:tcPr>
          <w:p>
            <w:pPr>
              <w:jc w:val="center"/>
              <w:rPr>
                <w:b/>
                <w:sz w:val="21"/>
                <w:szCs w:val="21"/>
                <w:highlight w:val="none"/>
              </w:rPr>
            </w:pPr>
            <w:r>
              <w:rPr>
                <w:b/>
                <w:sz w:val="21"/>
                <w:szCs w:val="21"/>
                <w:highlight w:val="none"/>
              </w:rPr>
              <w:t>男</w:t>
            </w:r>
          </w:p>
        </w:tc>
        <w:tc>
          <w:tcPr>
            <w:tcW w:w="862" w:type="dxa"/>
            <w:vAlign w:val="center"/>
          </w:tcPr>
          <w:p>
            <w:pPr>
              <w:jc w:val="center"/>
              <w:rPr>
                <w:b/>
                <w:sz w:val="21"/>
                <w:szCs w:val="21"/>
                <w:highlight w:val="none"/>
              </w:rPr>
            </w:pPr>
            <w:r>
              <w:rPr>
                <w:b/>
                <w:sz w:val="21"/>
                <w:szCs w:val="21"/>
                <w:highlight w:val="none"/>
              </w:rPr>
              <w:t>组长</w:t>
            </w:r>
          </w:p>
        </w:tc>
        <w:tc>
          <w:tcPr>
            <w:tcW w:w="1146" w:type="dxa"/>
            <w:vAlign w:val="center"/>
          </w:tcPr>
          <w:p>
            <w:pPr>
              <w:jc w:val="center"/>
              <w:rPr>
                <w:b/>
                <w:sz w:val="21"/>
                <w:szCs w:val="21"/>
                <w:highlight w:val="none"/>
              </w:rPr>
            </w:pPr>
            <w:r>
              <w:rPr>
                <w:b/>
                <w:sz w:val="21"/>
                <w:szCs w:val="21"/>
                <w:highlight w:val="none"/>
              </w:rPr>
              <w:t>Q:审核员</w:t>
            </w:r>
          </w:p>
          <w:p>
            <w:pPr>
              <w:jc w:val="center"/>
              <w:rPr>
                <w:b/>
                <w:sz w:val="21"/>
                <w:szCs w:val="21"/>
                <w:highlight w:val="none"/>
              </w:rPr>
            </w:pPr>
            <w:r>
              <w:rPr>
                <w:b/>
                <w:sz w:val="21"/>
                <w:szCs w:val="21"/>
                <w:highlight w:val="none"/>
              </w:rPr>
              <w:t>E:审核员</w:t>
            </w:r>
          </w:p>
          <w:p>
            <w:pPr>
              <w:jc w:val="center"/>
              <w:rPr>
                <w:b/>
                <w:sz w:val="21"/>
                <w:szCs w:val="21"/>
                <w:highlight w:val="none"/>
              </w:rPr>
            </w:pPr>
            <w:r>
              <w:rPr>
                <w:b/>
                <w:sz w:val="21"/>
                <w:szCs w:val="21"/>
                <w:highlight w:val="none"/>
              </w:rPr>
              <w:t>O:审核员</w:t>
            </w:r>
          </w:p>
        </w:tc>
        <w:tc>
          <w:tcPr>
            <w:tcW w:w="2836" w:type="dxa"/>
            <w:vAlign w:val="center"/>
          </w:tcPr>
          <w:p>
            <w:pPr>
              <w:jc w:val="center"/>
              <w:rPr>
                <w:b/>
                <w:sz w:val="21"/>
                <w:szCs w:val="21"/>
                <w:highlight w:val="none"/>
              </w:rPr>
            </w:pPr>
            <w:r>
              <w:rPr>
                <w:b/>
                <w:sz w:val="21"/>
                <w:szCs w:val="21"/>
                <w:highlight w:val="none"/>
              </w:rPr>
              <w:t>2021-N1QMS-3068076</w:t>
            </w:r>
          </w:p>
          <w:p>
            <w:pPr>
              <w:jc w:val="center"/>
              <w:rPr>
                <w:b/>
                <w:sz w:val="21"/>
                <w:szCs w:val="21"/>
                <w:highlight w:val="none"/>
              </w:rPr>
            </w:pPr>
            <w:r>
              <w:rPr>
                <w:b/>
                <w:sz w:val="21"/>
                <w:szCs w:val="21"/>
                <w:highlight w:val="none"/>
              </w:rPr>
              <w:t>2021-N1EMS-3068076</w:t>
            </w:r>
          </w:p>
          <w:p>
            <w:pPr>
              <w:jc w:val="center"/>
              <w:rPr>
                <w:b/>
                <w:sz w:val="21"/>
                <w:szCs w:val="21"/>
                <w:highlight w:val="none"/>
              </w:rPr>
            </w:pPr>
            <w:r>
              <w:rPr>
                <w:b/>
                <w:sz w:val="21"/>
                <w:szCs w:val="21"/>
                <w:highlight w:val="none"/>
              </w:rPr>
              <w:t>2019-N1OHSMS-2068076</w:t>
            </w:r>
          </w:p>
        </w:tc>
        <w:tc>
          <w:tcPr>
            <w:tcW w:w="1691" w:type="dxa"/>
            <w:gridSpan w:val="2"/>
            <w:vAlign w:val="center"/>
          </w:tcPr>
          <w:p>
            <w:pPr>
              <w:jc w:val="center"/>
              <w:rPr>
                <w:b/>
                <w:sz w:val="21"/>
                <w:szCs w:val="21"/>
                <w:highlight w:val="none"/>
              </w:rPr>
            </w:pPr>
            <w:r>
              <w:rPr>
                <w:b/>
                <w:sz w:val="21"/>
                <w:szCs w:val="21"/>
                <w:highlight w:val="none"/>
              </w:rPr>
              <w:t>Q:29.12.00</w:t>
            </w:r>
          </w:p>
          <w:p>
            <w:pPr>
              <w:jc w:val="center"/>
              <w:rPr>
                <w:b/>
                <w:sz w:val="21"/>
                <w:szCs w:val="21"/>
                <w:highlight w:val="none"/>
              </w:rPr>
            </w:pPr>
            <w:r>
              <w:rPr>
                <w:b/>
                <w:sz w:val="21"/>
                <w:szCs w:val="21"/>
                <w:highlight w:val="none"/>
              </w:rPr>
              <w:t>E:29.12.00</w:t>
            </w:r>
          </w:p>
          <w:p>
            <w:pPr>
              <w:jc w:val="center"/>
              <w:rPr>
                <w:b/>
                <w:sz w:val="21"/>
                <w:szCs w:val="21"/>
                <w:highlight w:val="none"/>
              </w:rPr>
            </w:pPr>
            <w:r>
              <w:rPr>
                <w:b/>
                <w:sz w:val="21"/>
                <w:szCs w:val="21"/>
                <w:highlight w:val="none"/>
              </w:rPr>
              <w:t>O:29.12.00</w:t>
            </w:r>
          </w:p>
        </w:tc>
        <w:tc>
          <w:tcPr>
            <w:tcW w:w="1457" w:type="dxa"/>
            <w:vAlign w:val="center"/>
          </w:tcPr>
          <w:p>
            <w:pPr>
              <w:jc w:val="center"/>
              <w:rPr>
                <w:b/>
                <w:sz w:val="21"/>
                <w:szCs w:val="21"/>
                <w:highlight w:val="none"/>
              </w:rPr>
            </w:pPr>
            <w:r>
              <w:rPr>
                <w:b/>
                <w:sz w:val="21"/>
                <w:szCs w:val="21"/>
                <w:highlight w:val="none"/>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rFonts w:ascii="Times New Roman" w:hAnsi="Times New Roman" w:eastAsia="宋体" w:cs="Times New Roman"/>
                <w:b/>
                <w:kern w:val="2"/>
                <w:sz w:val="21"/>
                <w:szCs w:val="21"/>
                <w:lang w:val="en-US" w:eastAsia="zh-CN" w:bidi="ar-SA"/>
              </w:rPr>
            </w:pPr>
            <w:r>
              <w:rPr>
                <w:b/>
                <w:sz w:val="21"/>
                <w:szCs w:val="21"/>
              </w:rPr>
              <w:t>文波</w:t>
            </w:r>
          </w:p>
        </w:tc>
        <w:tc>
          <w:tcPr>
            <w:tcW w:w="824" w:type="dxa"/>
            <w:gridSpan w:val="2"/>
            <w:vAlign w:val="center"/>
          </w:tcPr>
          <w:p>
            <w:pPr>
              <w:jc w:val="center"/>
              <w:rPr>
                <w:rFonts w:ascii="Times New Roman" w:hAnsi="Times New Roman" w:eastAsia="宋体" w:cs="Times New Roman"/>
                <w:b/>
                <w:kern w:val="2"/>
                <w:sz w:val="21"/>
                <w:szCs w:val="21"/>
                <w:lang w:val="en-US" w:eastAsia="zh-CN" w:bidi="ar-SA"/>
              </w:rPr>
            </w:pPr>
            <w:r>
              <w:rPr>
                <w:b/>
                <w:sz w:val="21"/>
                <w:szCs w:val="21"/>
              </w:rPr>
              <w:t>男</w:t>
            </w:r>
          </w:p>
        </w:tc>
        <w:tc>
          <w:tcPr>
            <w:tcW w:w="862" w:type="dxa"/>
            <w:vAlign w:val="center"/>
          </w:tcPr>
          <w:p>
            <w:pPr>
              <w:jc w:val="center"/>
              <w:rPr>
                <w:rFonts w:ascii="Times New Roman" w:hAnsi="Times New Roman" w:eastAsia="宋体" w:cs="Times New Roman"/>
                <w:b/>
                <w:kern w:val="2"/>
                <w:sz w:val="21"/>
                <w:szCs w:val="21"/>
                <w:lang w:val="en-US" w:eastAsia="zh-CN" w:bidi="ar-SA"/>
              </w:rPr>
            </w:pPr>
            <w:r>
              <w:rPr>
                <w:b/>
                <w:sz w:val="21"/>
                <w:szCs w:val="21"/>
              </w:rPr>
              <w:t>组员</w:t>
            </w:r>
          </w:p>
        </w:tc>
        <w:tc>
          <w:tcPr>
            <w:tcW w:w="1146"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rFonts w:ascii="Times New Roman" w:hAnsi="Times New Roman" w:eastAsia="宋体" w:cs="Times New Roman"/>
                <w:b/>
                <w:kern w:val="2"/>
                <w:sz w:val="21"/>
                <w:szCs w:val="21"/>
                <w:lang w:val="en-US" w:eastAsia="zh-CN" w:bidi="ar-SA"/>
              </w:rPr>
            </w:pPr>
            <w:r>
              <w:rPr>
                <w:b/>
                <w:sz w:val="21"/>
                <w:szCs w:val="21"/>
              </w:rPr>
              <w:t>O:审核员</w:t>
            </w:r>
          </w:p>
        </w:tc>
        <w:tc>
          <w:tcPr>
            <w:tcW w:w="2836"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rFonts w:ascii="Times New Roman" w:hAnsi="Times New Roman" w:eastAsia="宋体" w:cs="Times New Roman"/>
                <w:b/>
                <w:kern w:val="2"/>
                <w:sz w:val="21"/>
                <w:szCs w:val="21"/>
                <w:lang w:val="en-US" w:eastAsia="zh-CN" w:bidi="ar-SA"/>
              </w:rPr>
            </w:pPr>
            <w:r>
              <w:rPr>
                <w:b/>
                <w:sz w:val="21"/>
                <w:szCs w:val="21"/>
              </w:rPr>
              <w:t>2020-N1OHSMS-1257737</w:t>
            </w:r>
          </w:p>
        </w:tc>
        <w:tc>
          <w:tcPr>
            <w:tcW w:w="1691"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rFonts w:ascii="Times New Roman" w:hAnsi="Times New Roman" w:eastAsia="宋体" w:cs="Times New Roman"/>
                <w:b/>
                <w:kern w:val="2"/>
                <w:sz w:val="21"/>
                <w:szCs w:val="21"/>
                <w:lang w:val="en-US" w:eastAsia="zh-CN" w:bidi="ar-SA"/>
              </w:rPr>
            </w:pPr>
            <w:r>
              <w:rPr>
                <w:b/>
                <w:sz w:val="21"/>
                <w:szCs w:val="21"/>
              </w:rPr>
              <w:t>O:29.12.00</w:t>
            </w:r>
          </w:p>
        </w:tc>
        <w:tc>
          <w:tcPr>
            <w:tcW w:w="1457" w:type="dxa"/>
            <w:vAlign w:val="center"/>
          </w:tcPr>
          <w:p>
            <w:pPr>
              <w:jc w:val="center"/>
              <w:rPr>
                <w:rFonts w:ascii="Times New Roman" w:hAnsi="Times New Roman" w:eastAsia="宋体" w:cs="Times New Roman"/>
                <w:b/>
                <w:kern w:val="2"/>
                <w:sz w:val="21"/>
                <w:szCs w:val="21"/>
                <w:lang w:val="en-US" w:eastAsia="zh-CN" w:bidi="ar-SA"/>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862" w:type="dxa"/>
          </w:tcPr>
          <w:p>
            <w:pPr>
              <w:rPr>
                <w:b/>
                <w:sz w:val="21"/>
                <w:szCs w:val="21"/>
              </w:rPr>
            </w:pPr>
          </w:p>
        </w:tc>
        <w:tc>
          <w:tcPr>
            <w:tcW w:w="1146" w:type="dxa"/>
          </w:tcPr>
          <w:p>
            <w:pPr>
              <w:rPr>
                <w:b/>
                <w:sz w:val="21"/>
                <w:szCs w:val="21"/>
              </w:rPr>
            </w:pPr>
          </w:p>
        </w:tc>
        <w:tc>
          <w:tcPr>
            <w:tcW w:w="2836" w:type="dxa"/>
          </w:tcPr>
          <w:p>
            <w:pPr>
              <w:rPr>
                <w:b/>
                <w:sz w:val="21"/>
                <w:szCs w:val="21"/>
              </w:rPr>
            </w:pPr>
          </w:p>
        </w:tc>
        <w:tc>
          <w:tcPr>
            <w:tcW w:w="1691" w:type="dxa"/>
            <w:gridSpan w:val="2"/>
          </w:tcPr>
          <w:p>
            <w:pPr>
              <w:rPr>
                <w:b/>
                <w:sz w:val="21"/>
                <w:szCs w:val="21"/>
              </w:rPr>
            </w:pPr>
          </w:p>
        </w:tc>
        <w:tc>
          <w:tcPr>
            <w:tcW w:w="1457"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862" w:type="dxa"/>
          </w:tcPr>
          <w:p>
            <w:pPr>
              <w:rPr>
                <w:b/>
                <w:sz w:val="21"/>
                <w:szCs w:val="21"/>
              </w:rPr>
            </w:pPr>
          </w:p>
        </w:tc>
        <w:tc>
          <w:tcPr>
            <w:tcW w:w="1146" w:type="dxa"/>
          </w:tcPr>
          <w:p>
            <w:pPr>
              <w:rPr>
                <w:b/>
                <w:sz w:val="21"/>
                <w:szCs w:val="21"/>
              </w:rPr>
            </w:pPr>
          </w:p>
        </w:tc>
        <w:tc>
          <w:tcPr>
            <w:tcW w:w="2836" w:type="dxa"/>
          </w:tcPr>
          <w:p>
            <w:pPr>
              <w:rPr>
                <w:b/>
                <w:sz w:val="21"/>
                <w:szCs w:val="21"/>
              </w:rPr>
            </w:pPr>
          </w:p>
        </w:tc>
        <w:tc>
          <w:tcPr>
            <w:tcW w:w="1691" w:type="dxa"/>
            <w:gridSpan w:val="2"/>
          </w:tcPr>
          <w:p>
            <w:pPr>
              <w:rPr>
                <w:b/>
                <w:sz w:val="21"/>
                <w:szCs w:val="21"/>
              </w:rPr>
            </w:pPr>
          </w:p>
        </w:tc>
        <w:tc>
          <w:tcPr>
            <w:tcW w:w="1457"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62" w:type="dxa"/>
            <w:vAlign w:val="center"/>
          </w:tcPr>
          <w:p>
            <w:pPr>
              <w:jc w:val="center"/>
              <w:rPr>
                <w:b/>
                <w:sz w:val="21"/>
                <w:szCs w:val="21"/>
              </w:rPr>
            </w:pPr>
            <w:r>
              <w:rPr>
                <w:rFonts w:hint="eastAsia"/>
                <w:b/>
                <w:sz w:val="21"/>
                <w:szCs w:val="21"/>
              </w:rPr>
              <w:t>角色</w:t>
            </w:r>
          </w:p>
        </w:tc>
        <w:tc>
          <w:tcPr>
            <w:tcW w:w="7130"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62" w:type="dxa"/>
            <w:vAlign w:val="center"/>
          </w:tcPr>
          <w:p>
            <w:pPr>
              <w:jc w:val="center"/>
              <w:rPr>
                <w:b/>
                <w:sz w:val="21"/>
                <w:szCs w:val="21"/>
              </w:rPr>
            </w:pPr>
          </w:p>
        </w:tc>
        <w:tc>
          <w:tcPr>
            <w:tcW w:w="7130"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62" w:type="dxa"/>
            <w:vAlign w:val="center"/>
          </w:tcPr>
          <w:p>
            <w:pPr>
              <w:jc w:val="center"/>
              <w:rPr>
                <w:b/>
              </w:rPr>
            </w:pPr>
          </w:p>
        </w:tc>
        <w:tc>
          <w:tcPr>
            <w:tcW w:w="7130"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62" w:type="dxa"/>
            <w:vAlign w:val="center"/>
          </w:tcPr>
          <w:p>
            <w:pPr>
              <w:jc w:val="center"/>
              <w:rPr>
                <w:b/>
              </w:rPr>
            </w:pPr>
          </w:p>
        </w:tc>
        <w:tc>
          <w:tcPr>
            <w:tcW w:w="7130" w:type="dxa"/>
            <w:gridSpan w:val="5"/>
            <w:vAlign w:val="center"/>
          </w:tcPr>
          <w:p>
            <w:pPr>
              <w:rPr>
                <w:b/>
              </w:rPr>
            </w:pPr>
          </w:p>
        </w:tc>
      </w:tr>
    </w:tbl>
    <w:p>
      <w:pPr>
        <w:tabs>
          <w:tab w:val="left" w:pos="645"/>
        </w:tabs>
        <w:rPr>
          <w:rFonts w:hint="eastAsia"/>
          <w:b/>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color w:val="FF0000"/>
          <w:sz w:val="21"/>
          <w:szCs w:val="21"/>
        </w:rPr>
      </w:pPr>
      <w:r>
        <w:rPr>
          <w:rFonts w:hint="eastAsia"/>
          <w:b/>
          <w:sz w:val="21"/>
          <w:szCs w:val="21"/>
        </w:rPr>
        <w:sym w:font="Wingdings 2" w:char="0052"/>
      </w:r>
      <w:r>
        <w:rPr>
          <w:rFonts w:hint="eastAsia"/>
          <w:b/>
          <w:sz w:val="21"/>
          <w:szCs w:val="21"/>
        </w:rPr>
        <w:t>扩大认证范围 ：</w:t>
      </w:r>
      <w:r>
        <w:rPr>
          <w:rFonts w:hint="eastAsia"/>
          <w:b/>
          <w:color w:val="FF0000"/>
          <w:sz w:val="21"/>
          <w:szCs w:val="21"/>
        </w:rPr>
        <w:t>智慧档案馆、智能密集架、智慧图书馆、库房一体化控制系统、激光模拟训练系统、实弹模拟训练系统</w:t>
      </w:r>
    </w:p>
    <w:p>
      <w:pPr>
        <w:tabs>
          <w:tab w:val="left" w:pos="645"/>
        </w:tabs>
        <w:rPr>
          <w:rFonts w:hint="eastAsia"/>
          <w:b/>
          <w:sz w:val="21"/>
          <w:szCs w:val="21"/>
        </w:rPr>
      </w:pPr>
      <w:r>
        <w:rPr>
          <w:rFonts w:hint="eastAsia"/>
          <w:b/>
          <w:sz w:val="21"/>
          <w:szCs w:val="21"/>
        </w:rPr>
        <w:t>□其它：__________</w:t>
      </w:r>
      <w:bookmarkEnd w:id="4"/>
    </w:p>
    <w:p>
      <w:pPr>
        <w:tabs>
          <w:tab w:val="left" w:pos="645"/>
        </w:tabs>
        <w:rPr>
          <w:rFonts w:hint="eastAsia"/>
          <w:b/>
          <w:sz w:val="26"/>
          <w:szCs w:val="26"/>
        </w:rPr>
      </w:pPr>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w:t>
      </w:r>
      <w:r>
        <w:rPr>
          <w:rFonts w:hint="eastAsia"/>
          <w:b/>
          <w:sz w:val="21"/>
          <w:szCs w:val="21"/>
          <w:lang w:val="en-US" w:eastAsia="zh-CN"/>
        </w:rPr>
        <w:t xml:space="preserve"> </w:t>
      </w:r>
      <w:r>
        <w:rPr>
          <w:rFonts w:hint="eastAsia"/>
          <w:b/>
          <w:sz w:val="21"/>
          <w:szCs w:val="21"/>
        </w:rPr>
        <w:t>45001：2018标准</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rFonts w:hint="eastAsia"/>
          <w:b/>
          <w:sz w:val="26"/>
          <w:szCs w:val="26"/>
        </w:rPr>
      </w:pPr>
      <w:r>
        <w:rPr>
          <w:rFonts w:hint="eastAsia"/>
          <w:b/>
          <w:sz w:val="21"/>
          <w:szCs w:val="21"/>
        </w:rPr>
        <w:sym w:font="Wingdings 2" w:char="0052"/>
      </w:r>
      <w:r>
        <w:rPr>
          <w:rFonts w:hint="eastAsia"/>
          <w:b/>
          <w:sz w:val="21"/>
          <w:szCs w:val="21"/>
        </w:rPr>
        <w:t>认证合同</w:t>
      </w:r>
    </w:p>
    <w:p>
      <w:pPr>
        <w:tabs>
          <w:tab w:val="left" w:pos="645"/>
        </w:tabs>
        <w:rPr>
          <w:rFonts w:hint="eastAsia"/>
          <w:b/>
          <w:sz w:val="26"/>
          <w:szCs w:val="26"/>
        </w:rPr>
      </w:pPr>
    </w:p>
    <w:p>
      <w:pPr>
        <w:pStyle w:val="2"/>
        <w:rPr>
          <w:rFonts w:hint="eastAsia"/>
        </w:rPr>
      </w:pP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96"/>
        <w:gridCol w:w="1970"/>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37"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97" w:type="dxa"/>
            <w:gridSpan w:val="4"/>
            <w:vAlign w:val="center"/>
          </w:tcPr>
          <w:p>
            <w:pPr>
              <w:spacing w:line="260" w:lineRule="exact"/>
              <w:jc w:val="center"/>
              <w:rPr>
                <w:rFonts w:ascii="宋体"/>
                <w:b/>
                <w:color w:val="FF0000"/>
                <w:sz w:val="21"/>
              </w:rPr>
            </w:pPr>
            <w:r>
              <w:rPr>
                <w:rFonts w:hint="eastAsia" w:ascii="宋体"/>
                <w:b/>
                <w:color w:val="auto"/>
                <w:sz w:val="21"/>
              </w:rPr>
              <w:t>江西锐盾智能科技有限公司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37" w:type="dxa"/>
            <w:gridSpan w:val="2"/>
            <w:vAlign w:val="center"/>
          </w:tcPr>
          <w:p>
            <w:pPr>
              <w:jc w:val="center"/>
              <w:rPr>
                <w:b/>
                <w:sz w:val="16"/>
                <w:szCs w:val="16"/>
              </w:rPr>
            </w:pPr>
            <w:r>
              <w:rPr>
                <w:rFonts w:hint="eastAsia" w:ascii="宋体" w:hAnsi="宋体"/>
                <w:b/>
                <w:sz w:val="21"/>
                <w:szCs w:val="21"/>
              </w:rPr>
              <w:t>注册地址</w:t>
            </w:r>
          </w:p>
        </w:tc>
        <w:tc>
          <w:tcPr>
            <w:tcW w:w="4697" w:type="dxa"/>
            <w:gridSpan w:val="4"/>
            <w:vAlign w:val="center"/>
          </w:tcPr>
          <w:p>
            <w:pPr>
              <w:jc w:val="center"/>
              <w:rPr>
                <w:rFonts w:ascii="宋体"/>
                <w:b/>
                <w:sz w:val="21"/>
                <w:szCs w:val="22"/>
              </w:rPr>
            </w:pPr>
            <w:r>
              <w:rPr>
                <w:rFonts w:ascii="宋体"/>
                <w:b/>
                <w:sz w:val="21"/>
                <w:szCs w:val="22"/>
              </w:rPr>
              <w:t>江西省宜春市樟树市观上镇观中路6号</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9" w:name="注册邮编"/>
            <w:r>
              <w:rPr>
                <w:rFonts w:ascii="宋体"/>
                <w:b/>
                <w:sz w:val="21"/>
              </w:rPr>
              <w:t>331207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37" w:type="dxa"/>
            <w:gridSpan w:val="2"/>
            <w:vAlign w:val="center"/>
          </w:tcPr>
          <w:p>
            <w:pPr>
              <w:jc w:val="center"/>
              <w:rPr>
                <w:rFonts w:ascii="宋体"/>
                <w:b/>
                <w:sz w:val="21"/>
                <w:szCs w:val="21"/>
              </w:rPr>
            </w:pPr>
            <w:r>
              <w:rPr>
                <w:rFonts w:hint="eastAsia" w:ascii="宋体" w:hAnsi="宋体"/>
                <w:b/>
                <w:sz w:val="21"/>
                <w:szCs w:val="21"/>
              </w:rPr>
              <w:t>经营地址</w:t>
            </w:r>
          </w:p>
        </w:tc>
        <w:tc>
          <w:tcPr>
            <w:tcW w:w="4697" w:type="dxa"/>
            <w:gridSpan w:val="4"/>
            <w:vAlign w:val="center"/>
          </w:tcPr>
          <w:p>
            <w:pPr>
              <w:jc w:val="center"/>
              <w:rPr>
                <w:rFonts w:ascii="宋体"/>
                <w:b/>
                <w:sz w:val="21"/>
                <w:szCs w:val="22"/>
              </w:rPr>
            </w:pPr>
            <w:r>
              <w:rPr>
                <w:rFonts w:ascii="宋体"/>
                <w:b/>
                <w:sz w:val="21"/>
                <w:szCs w:val="22"/>
              </w:rPr>
              <w:t>江西省樟树市盐城大道锦绣江南19-25</w:t>
            </w:r>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0" w:name="办公邮编"/>
            <w:r>
              <w:rPr>
                <w:rFonts w:ascii="宋体"/>
                <w:b/>
                <w:sz w:val="21"/>
              </w:rPr>
              <w:t>331200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37"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97" w:type="dxa"/>
            <w:gridSpan w:val="4"/>
            <w:vAlign w:val="center"/>
          </w:tcPr>
          <w:p>
            <w:pPr>
              <w:jc w:val="center"/>
              <w:rPr>
                <w:rFonts w:ascii="宋体"/>
                <w:b/>
                <w:sz w:val="21"/>
              </w:rPr>
            </w:pPr>
            <w:r>
              <w:rPr>
                <w:rFonts w:ascii="宋体"/>
                <w:b/>
                <w:sz w:val="21"/>
                <w:szCs w:val="22"/>
              </w:rPr>
              <w:t>江西省樟树市盐城大道锦绣江南19-25</w:t>
            </w:r>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1" w:name="生产邮编"/>
            <w:r>
              <w:rPr>
                <w:rFonts w:ascii="宋体"/>
                <w:b/>
                <w:sz w:val="21"/>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37" w:type="dxa"/>
            <w:gridSpan w:val="2"/>
            <w:vAlign w:val="center"/>
          </w:tcPr>
          <w:p>
            <w:pPr>
              <w:jc w:val="center"/>
              <w:rPr>
                <w:rFonts w:ascii="宋体"/>
                <w:b/>
                <w:sz w:val="21"/>
              </w:rPr>
            </w:pPr>
            <w:r>
              <w:rPr>
                <w:rFonts w:hint="eastAsia" w:ascii="宋体" w:hAnsi="宋体"/>
                <w:b/>
                <w:sz w:val="21"/>
              </w:rPr>
              <w:t>联系人</w:t>
            </w:r>
          </w:p>
        </w:tc>
        <w:tc>
          <w:tcPr>
            <w:tcW w:w="1970" w:type="dxa"/>
            <w:vAlign w:val="center"/>
          </w:tcPr>
          <w:p>
            <w:pPr>
              <w:jc w:val="center"/>
              <w:rPr>
                <w:rFonts w:ascii="宋体"/>
                <w:b/>
                <w:sz w:val="21"/>
              </w:rPr>
            </w:pPr>
            <w:bookmarkStart w:id="12" w:name="联系人"/>
            <w:r>
              <w:rPr>
                <w:rFonts w:ascii="宋体"/>
                <w:b/>
                <w:sz w:val="21"/>
              </w:rPr>
              <w:t>赖艳华</w:t>
            </w:r>
            <w:bookmarkEnd w:id="12"/>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3" w:name="联系人电话Add"/>
            <w:r>
              <w:rPr>
                <w:rFonts w:ascii="宋体"/>
                <w:b/>
                <w:sz w:val="21"/>
              </w:rPr>
              <w:t>0795-7838886</w:t>
            </w:r>
            <w:bookmarkEnd w:id="13"/>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7"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70" w:type="dxa"/>
            <w:vAlign w:val="center"/>
          </w:tcPr>
          <w:p>
            <w:pPr>
              <w:jc w:val="center"/>
              <w:rPr>
                <w:rFonts w:hint="eastAsia" w:ascii="宋体" w:hAnsi="宋体" w:eastAsia="宋体"/>
                <w:b/>
                <w:sz w:val="21"/>
                <w:szCs w:val="21"/>
                <w:lang w:eastAsia="zh-CN"/>
              </w:rPr>
            </w:pPr>
            <w:r>
              <w:rPr>
                <w:rFonts w:hint="eastAsia" w:ascii="宋体" w:hAnsi="宋体"/>
                <w:b/>
                <w:sz w:val="21"/>
                <w:szCs w:val="21"/>
                <w:lang w:val="en-US" w:eastAsia="zh-CN"/>
              </w:rPr>
              <w:t>聂林</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15" w:name="管理者代表"/>
            <w:r>
              <w:rPr>
                <w:rFonts w:ascii="宋体"/>
                <w:b/>
                <w:sz w:val="21"/>
              </w:rPr>
              <w:t>赖艳华</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37"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79" w:type="dxa"/>
            <w:gridSpan w:val="2"/>
            <w:vAlign w:val="center"/>
          </w:tcPr>
          <w:p>
            <w:pPr>
              <w:jc w:val="center"/>
              <w:rPr>
                <w:rFonts w:ascii="宋体" w:hAnsi="宋体"/>
                <w:b/>
                <w:sz w:val="21"/>
                <w:szCs w:val="21"/>
              </w:rPr>
            </w:pPr>
            <w:bookmarkStart w:id="16" w:name="审核日期"/>
            <w:r>
              <w:rPr>
                <w:rFonts w:ascii="宋体" w:hAnsi="宋体"/>
                <w:b/>
                <w:sz w:val="21"/>
                <w:szCs w:val="21"/>
              </w:rPr>
              <w:t>2021年06月</w:t>
            </w:r>
            <w:r>
              <w:rPr>
                <w:rFonts w:hint="eastAsia" w:ascii="宋体" w:hAnsi="宋体"/>
                <w:b/>
                <w:sz w:val="21"/>
                <w:szCs w:val="21"/>
                <w:lang w:val="en-US" w:eastAsia="zh-CN"/>
              </w:rPr>
              <w:t>22</w:t>
            </w:r>
            <w:r>
              <w:rPr>
                <w:rFonts w:ascii="宋体" w:hAnsi="宋体"/>
                <w:b/>
                <w:sz w:val="21"/>
                <w:szCs w:val="21"/>
              </w:rPr>
              <w:t>日 上午至2021年06月</w:t>
            </w:r>
            <w:r>
              <w:rPr>
                <w:rFonts w:hint="eastAsia" w:ascii="宋体" w:hAnsi="宋体"/>
                <w:b/>
                <w:sz w:val="21"/>
                <w:szCs w:val="21"/>
                <w:lang w:val="en-US" w:eastAsia="zh-CN"/>
              </w:rPr>
              <w:t>24</w:t>
            </w:r>
            <w:r>
              <w:rPr>
                <w:rFonts w:ascii="宋体" w:hAnsi="宋体"/>
                <w:b/>
                <w:sz w:val="21"/>
                <w:szCs w:val="21"/>
              </w:rPr>
              <w:t xml:space="preserve">日 </w:t>
            </w:r>
            <w:r>
              <w:rPr>
                <w:rFonts w:hint="eastAsia" w:ascii="宋体" w:hAnsi="宋体"/>
                <w:b/>
                <w:sz w:val="21"/>
                <w:szCs w:val="21"/>
                <w:lang w:val="en-US" w:eastAsia="zh-CN"/>
              </w:rPr>
              <w:t>上</w:t>
            </w:r>
            <w:r>
              <w:rPr>
                <w:rFonts w:ascii="宋体" w:hAnsi="宋体"/>
                <w:b/>
                <w:sz w:val="21"/>
                <w:szCs w:val="21"/>
              </w:rPr>
              <w:t>午</w:t>
            </w:r>
            <w:bookmarkEnd w:id="16"/>
          </w:p>
        </w:tc>
        <w:tc>
          <w:tcPr>
            <w:tcW w:w="1609" w:type="dxa"/>
            <w:vAlign w:val="center"/>
          </w:tcPr>
          <w:p>
            <w:pPr>
              <w:jc w:val="center"/>
              <w:rPr>
                <w:rFonts w:ascii="宋体" w:hAnsi="宋体"/>
                <w:b/>
                <w:sz w:val="21"/>
                <w:szCs w:val="21"/>
              </w:rPr>
            </w:pPr>
            <w:r>
              <w:rPr>
                <w:rFonts w:hint="eastAsia" w:ascii="宋体" w:hAnsi="宋体"/>
                <w:b/>
                <w:sz w:val="21"/>
                <w:szCs w:val="21"/>
              </w:rPr>
              <w:t>一体化审核</w:t>
            </w:r>
          </w:p>
        </w:tc>
        <w:tc>
          <w:tcPr>
            <w:tcW w:w="3181" w:type="dxa"/>
            <w:gridSpan w:val="3"/>
            <w:vAlign w:val="center"/>
          </w:tcPr>
          <w:p>
            <w:pPr>
              <w:jc w:val="cente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937"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869" w:type="dxa"/>
            <w:gridSpan w:val="6"/>
          </w:tcPr>
          <w:p>
            <w:pPr>
              <w:spacing w:line="360" w:lineRule="exact"/>
              <w:rPr>
                <w:rFonts w:hint="eastAsia" w:ascii="宋体" w:hAnsi="宋体" w:eastAsia="宋体"/>
                <w:b/>
                <w:sz w:val="21"/>
                <w:szCs w:val="21"/>
                <w:lang w:eastAsia="zh-CN"/>
              </w:rPr>
            </w:pPr>
            <w:bookmarkStart w:id="17" w:name="Q勾选15Add1"/>
            <w:r>
              <w:rPr>
                <w:rFonts w:hint="eastAsia" w:ascii="宋体" w:hAnsi="宋体"/>
                <w:b/>
                <w:sz w:val="21"/>
                <w:szCs w:val="21"/>
              </w:rPr>
              <w:t>■</w:t>
            </w:r>
            <w:bookmarkEnd w:id="17"/>
            <w:r>
              <w:rPr>
                <w:rFonts w:ascii="宋体" w:hAnsi="宋体"/>
                <w:b/>
                <w:sz w:val="21"/>
                <w:szCs w:val="21"/>
              </w:rPr>
              <w:t>QMS</w:t>
            </w:r>
            <w:r>
              <w:rPr>
                <w:rFonts w:hint="eastAsia" w:ascii="宋体" w:hAnsi="宋体"/>
                <w:b/>
                <w:sz w:val="21"/>
                <w:szCs w:val="21"/>
              </w:rPr>
              <w:t>：</w:t>
            </w:r>
            <w:r>
              <w:rPr>
                <w:rFonts w:hint="eastAsia" w:ascii="宋体" w:hAnsi="宋体" w:cs="Arial"/>
                <w:color w:val="auto"/>
                <w:spacing w:val="-6"/>
                <w:sz w:val="21"/>
                <w:szCs w:val="21"/>
                <w:lang w:val="en-US" w:eastAsia="zh-CN"/>
              </w:rPr>
              <w:t>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书架、货架、无人机、</w:t>
            </w:r>
            <w:r>
              <w:rPr>
                <w:rFonts w:hint="eastAsia" w:ascii="宋体" w:hAnsi="宋体" w:cs="Arial"/>
                <w:color w:val="FF0000"/>
                <w:spacing w:val="-6"/>
                <w:sz w:val="21"/>
                <w:szCs w:val="21"/>
                <w:lang w:val="en-US" w:eastAsia="zh-CN"/>
              </w:rPr>
              <w:t>智慧档案馆、智能密集架、智慧图书馆、库房一体化控制系统、激光模拟训练系统、实弹模拟训练系统</w:t>
            </w:r>
            <w:r>
              <w:rPr>
                <w:rFonts w:hint="eastAsia" w:ascii="宋体" w:hAnsi="宋体" w:cs="Arial"/>
                <w:color w:val="auto"/>
                <w:spacing w:val="-6"/>
                <w:sz w:val="21"/>
                <w:szCs w:val="21"/>
                <w:lang w:val="en-US" w:eastAsia="zh-CN"/>
              </w:rPr>
              <w:t>的销售</w:t>
            </w:r>
          </w:p>
          <w:p>
            <w:pPr>
              <w:spacing w:line="360" w:lineRule="exact"/>
            </w:pPr>
            <w:bookmarkStart w:id="18" w:name="E勾选Add1"/>
            <w:r>
              <w:rPr>
                <w:rFonts w:hint="eastAsia" w:ascii="宋体" w:hAnsi="宋体"/>
                <w:b/>
                <w:sz w:val="21"/>
                <w:szCs w:val="21"/>
              </w:rPr>
              <w:t>■</w:t>
            </w:r>
            <w:bookmarkEnd w:id="18"/>
            <w:r>
              <w:rPr>
                <w:rFonts w:ascii="宋体" w:hAnsi="宋体"/>
                <w:b/>
                <w:sz w:val="21"/>
                <w:szCs w:val="21"/>
              </w:rPr>
              <w:t>EMS</w:t>
            </w:r>
            <w:r>
              <w:rPr>
                <w:rFonts w:hint="eastAsia" w:ascii="宋体" w:hAnsi="宋体"/>
                <w:b/>
                <w:sz w:val="21"/>
                <w:szCs w:val="21"/>
              </w:rPr>
              <w:t>：</w:t>
            </w:r>
            <w:r>
              <w:rPr>
                <w:rFonts w:hint="eastAsia" w:ascii="宋体" w:hAnsi="宋体" w:cs="Arial"/>
                <w:color w:val="auto"/>
                <w:spacing w:val="-6"/>
                <w:sz w:val="21"/>
                <w:szCs w:val="21"/>
                <w:lang w:val="en-US" w:eastAsia="zh-CN"/>
              </w:rPr>
              <w:t>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书架、货架、无人机、</w:t>
            </w:r>
            <w:r>
              <w:rPr>
                <w:rFonts w:hint="eastAsia" w:ascii="宋体" w:hAnsi="宋体" w:cs="Arial"/>
                <w:color w:val="FF0000"/>
                <w:spacing w:val="-6"/>
                <w:sz w:val="21"/>
                <w:szCs w:val="21"/>
                <w:lang w:val="en-US" w:eastAsia="zh-CN"/>
              </w:rPr>
              <w:t>智慧档案馆、智能密集架、智慧图书馆、库房一体化控制系统、激光模拟训练系统、实弹模拟训练系统</w:t>
            </w:r>
            <w:r>
              <w:rPr>
                <w:rFonts w:hint="eastAsia" w:ascii="宋体" w:hAnsi="宋体" w:cs="Arial"/>
                <w:color w:val="auto"/>
                <w:spacing w:val="-6"/>
                <w:sz w:val="21"/>
                <w:szCs w:val="21"/>
                <w:lang w:val="en-US" w:eastAsia="zh-CN"/>
              </w:rPr>
              <w:t>的销售所涉及的相关环境管理活动</w:t>
            </w:r>
          </w:p>
          <w:p>
            <w:pPr>
              <w:spacing w:line="360" w:lineRule="exact"/>
              <w:rPr>
                <w:rFonts w:ascii="宋体" w:hAnsi="宋体"/>
                <w:b/>
                <w:sz w:val="21"/>
                <w:szCs w:val="21"/>
              </w:rPr>
            </w:pPr>
            <w:bookmarkStart w:id="19" w:name="S勾选Add2"/>
            <w:r>
              <w:rPr>
                <w:rFonts w:hint="eastAsia" w:ascii="宋体" w:hAnsi="宋体"/>
                <w:b/>
                <w:sz w:val="21"/>
                <w:szCs w:val="21"/>
              </w:rPr>
              <w:t>■</w:t>
            </w:r>
            <w:bookmarkEnd w:id="19"/>
            <w:r>
              <w:rPr>
                <w:rFonts w:ascii="宋体" w:hAnsi="宋体"/>
                <w:b/>
                <w:sz w:val="21"/>
                <w:szCs w:val="21"/>
              </w:rPr>
              <w:t>OHSMS</w:t>
            </w:r>
            <w:r>
              <w:rPr>
                <w:rFonts w:hint="eastAsia" w:ascii="宋体" w:hAnsi="宋体"/>
                <w:b/>
                <w:sz w:val="21"/>
                <w:szCs w:val="21"/>
              </w:rPr>
              <w:t>：</w:t>
            </w:r>
            <w:r>
              <w:rPr>
                <w:sz w:val="20"/>
              </w:rPr>
              <w:t>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书架、货架、无人机、</w:t>
            </w:r>
            <w:r>
              <w:rPr>
                <w:color w:val="FF0000"/>
                <w:sz w:val="20"/>
              </w:rPr>
              <w:t>智慧档案馆、智能密集架、智慧图书馆、库房一体化控制系统、激光模拟训练系统、实弹模拟训练系统</w:t>
            </w:r>
            <w:r>
              <w:rPr>
                <w:sz w:val="20"/>
              </w:rPr>
              <w:t>的销售</w:t>
            </w:r>
            <w:r>
              <w:rPr>
                <w:rFonts w:hint="eastAsia"/>
                <w:sz w:val="20"/>
                <w:lang w:val="en-US" w:eastAsia="zh-CN"/>
              </w:rPr>
              <w:t>所涉及的</w:t>
            </w:r>
            <w:r>
              <w:rPr>
                <w:rFonts w:hint="eastAsia"/>
                <w:sz w:val="20"/>
                <w:szCs w:val="22"/>
              </w:rPr>
              <w:t>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96"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869"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w:t>
            </w:r>
            <w:r>
              <w:rPr>
                <w:rFonts w:hint="eastAsia" w:ascii="宋体" w:hAnsi="宋体"/>
                <w:b/>
                <w:sz w:val="21"/>
                <w:szCs w:val="21"/>
                <w:lang w:val="en-US" w:eastAsia="zh-CN"/>
              </w:rPr>
              <w:t>增加</w:t>
            </w:r>
            <w:r>
              <w:rPr>
                <w:rFonts w:hint="eastAsia"/>
                <w:b/>
                <w:color w:val="FF0000"/>
                <w:sz w:val="21"/>
                <w:szCs w:val="21"/>
              </w:rPr>
              <w:t>智慧档案馆、智能密集架、智慧图书馆、库房一体化控制系统、激光模拟训练系统、实弹模拟训练系统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37"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70" w:type="dxa"/>
          </w:tcPr>
          <w:p>
            <w:pPr>
              <w:spacing w:line="260" w:lineRule="exact"/>
              <w:rPr>
                <w:rFonts w:ascii="宋体" w:hAnsi="宋体"/>
                <w:b/>
                <w:sz w:val="21"/>
                <w:szCs w:val="21"/>
              </w:rPr>
            </w:pPr>
            <w:bookmarkStart w:id="20"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0"/>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vAlign w:val="center"/>
          </w:tcPr>
          <w:p>
            <w:pPr>
              <w:spacing w:line="260" w:lineRule="exact"/>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2023.7.12</w:t>
            </w:r>
          </w:p>
        </w:tc>
        <w:tc>
          <w:tcPr>
            <w:tcW w:w="1672"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上年度</w:t>
            </w:r>
          </w:p>
          <w:p>
            <w:pPr>
              <w:spacing w:line="260" w:lineRule="exact"/>
              <w:jc w:val="center"/>
              <w:rPr>
                <w:rFonts w:ascii="宋体" w:hAnsi="宋体"/>
                <w:b/>
                <w:sz w:val="21"/>
                <w:szCs w:val="21"/>
                <w:highlight w:val="none"/>
              </w:rPr>
            </w:pPr>
            <w:r>
              <w:rPr>
                <w:rFonts w:hint="eastAsia" w:ascii="宋体" w:hAnsi="宋体"/>
                <w:b/>
                <w:sz w:val="21"/>
                <w:szCs w:val="21"/>
                <w:highlight w:val="none"/>
              </w:rPr>
              <w:t>审核日期</w:t>
            </w:r>
          </w:p>
        </w:tc>
        <w:tc>
          <w:tcPr>
            <w:tcW w:w="1500" w:type="dxa"/>
            <w:vAlign w:val="center"/>
          </w:tcPr>
          <w:p>
            <w:pPr>
              <w:spacing w:line="260" w:lineRule="exact"/>
              <w:jc w:val="center"/>
              <w:rPr>
                <w:rFonts w:hint="default" w:ascii="宋体" w:eastAsia="宋体"/>
                <w:b/>
                <w:sz w:val="21"/>
                <w:highlight w:val="none"/>
                <w:lang w:val="en-US" w:eastAsia="zh-CN"/>
              </w:rPr>
            </w:pPr>
            <w:r>
              <w:rPr>
                <w:rFonts w:hint="eastAsia" w:ascii="宋体"/>
                <w:b/>
                <w:sz w:val="21"/>
                <w:highlight w:val="none"/>
                <w:lang w:val="en-US" w:eastAsia="zh-CN"/>
              </w:rPr>
              <w:t>2020年06月20日上午21日上午</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2020</w:t>
      </w:r>
      <w:r>
        <w:rPr>
          <w:rFonts w:hint="eastAsia" w:ascii="宋体" w:hAnsi="宋体"/>
          <w:b/>
          <w:sz w:val="21"/>
          <w:szCs w:val="21"/>
          <w:highlight w:val="none"/>
        </w:rPr>
        <w:t>年</w:t>
      </w:r>
      <w:r>
        <w:rPr>
          <w:rFonts w:hint="eastAsia" w:ascii="宋体" w:hAnsi="宋体"/>
          <w:b/>
          <w:sz w:val="21"/>
          <w:szCs w:val="21"/>
          <w:highlight w:val="none"/>
          <w:lang w:val="en-US" w:eastAsia="zh-CN"/>
        </w:rPr>
        <w:t>6</w:t>
      </w:r>
      <w:r>
        <w:rPr>
          <w:rFonts w:hint="eastAsia" w:ascii="宋体" w:hAnsi="宋体"/>
          <w:b/>
          <w:sz w:val="21"/>
          <w:szCs w:val="21"/>
          <w:highlight w:val="none"/>
        </w:rPr>
        <w:t>月</w:t>
      </w:r>
      <w:r>
        <w:rPr>
          <w:rFonts w:hint="eastAsia" w:ascii="宋体" w:hAnsi="宋体"/>
          <w:b/>
          <w:sz w:val="21"/>
          <w:szCs w:val="21"/>
          <w:highlight w:val="none"/>
          <w:lang w:val="en-US" w:eastAsia="zh-CN"/>
        </w:rPr>
        <w:t>21</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6</w:t>
      </w:r>
      <w:r>
        <w:rPr>
          <w:rFonts w:hint="eastAsia" w:ascii="宋体" w:hAnsi="宋体"/>
          <w:b/>
          <w:sz w:val="21"/>
          <w:szCs w:val="21"/>
          <w:highlight w:val="none"/>
        </w:rPr>
        <w:t>月</w:t>
      </w:r>
      <w:r>
        <w:rPr>
          <w:rFonts w:hint="eastAsia" w:ascii="宋体" w:hAnsi="宋体"/>
          <w:b/>
          <w:sz w:val="21"/>
          <w:szCs w:val="21"/>
          <w:highlight w:val="none"/>
          <w:lang w:val="en-US" w:eastAsia="zh-CN"/>
        </w:rPr>
        <w:t>22</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pStyle w:val="2"/>
      </w:pPr>
    </w:p>
    <w:p>
      <w:pPr>
        <w:spacing w:line="360" w:lineRule="auto"/>
        <w:ind w:left="-211" w:leftChars="-88" w:firstLine="470" w:firstLineChars="223"/>
        <w:rPr>
          <w:rFonts w:ascii="宋体" w:hAnsi="宋体"/>
          <w:b/>
          <w:sz w:val="21"/>
          <w:szCs w:val="21"/>
        </w:rPr>
      </w:pPr>
    </w:p>
    <w:p>
      <w:pPr>
        <w:tabs>
          <w:tab w:val="left" w:pos="645"/>
        </w:tabs>
        <w:spacing w:after="163" w:afterLines="50" w:line="360" w:lineRule="exact"/>
        <w:rPr>
          <w:rFonts w:hint="eastAsia" w:ascii="Times New Roman" w:hAnsi="Times New Roman" w:eastAsia="宋体" w:cs="Times New Roman"/>
          <w:b/>
          <w:sz w:val="26"/>
          <w:szCs w:val="26"/>
        </w:rPr>
      </w:pPr>
      <w:r>
        <w:rPr>
          <w:rFonts w:hint="eastAsia" w:ascii="Times New Roman" w:hAnsi="Times New Roman" w:eastAsia="宋体" w:cs="Times New Roman"/>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360" w:lineRule="auto"/>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eastAsia="zh-CN"/>
              </w:rPr>
              <w:t>江西锐盾智能科技有限公司成立于2017年0</w:t>
            </w:r>
            <w:r>
              <w:rPr>
                <w:rFonts w:hint="eastAsia" w:ascii="宋体" w:hAnsi="宋体" w:cs="Arial"/>
                <w:color w:val="auto"/>
                <w:spacing w:val="-6"/>
                <w:sz w:val="21"/>
                <w:szCs w:val="21"/>
                <w:lang w:val="en-US" w:eastAsia="zh-CN"/>
              </w:rPr>
              <w:t>3</w:t>
            </w:r>
            <w:r>
              <w:rPr>
                <w:rFonts w:hint="eastAsia" w:ascii="宋体" w:hAnsi="宋体" w:eastAsia="宋体" w:cs="Arial"/>
                <w:color w:val="auto"/>
                <w:spacing w:val="-6"/>
                <w:sz w:val="21"/>
                <w:szCs w:val="21"/>
                <w:lang w:eastAsia="zh-CN"/>
              </w:rPr>
              <w:t>月，</w:t>
            </w:r>
            <w:r>
              <w:rPr>
                <w:rFonts w:hint="eastAsia" w:ascii="宋体" w:hAnsi="宋体" w:cs="Arial"/>
                <w:color w:val="auto"/>
                <w:spacing w:val="-6"/>
                <w:sz w:val="21"/>
                <w:szCs w:val="21"/>
                <w:lang w:val="en-US" w:eastAsia="zh-CN"/>
              </w:rPr>
              <w:t>注册资金5百万元；</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eastAsia="宋体" w:cs="Arial"/>
                <w:color w:val="auto"/>
                <w:spacing w:val="-6"/>
                <w:sz w:val="21"/>
                <w:szCs w:val="21"/>
                <w:lang w:eastAsia="zh-CN"/>
              </w:rPr>
              <w:t>注册</w:t>
            </w:r>
            <w:r>
              <w:rPr>
                <w:rFonts w:hint="eastAsia" w:ascii="宋体" w:hAnsi="宋体" w:cs="Arial"/>
                <w:color w:val="auto"/>
                <w:spacing w:val="-6"/>
                <w:sz w:val="21"/>
                <w:szCs w:val="21"/>
                <w:lang w:val="en-US" w:eastAsia="zh-CN"/>
              </w:rPr>
              <w:t>地址</w:t>
            </w:r>
            <w:r>
              <w:rPr>
                <w:rFonts w:hint="eastAsia" w:ascii="宋体" w:hAnsi="宋体" w:cs="Arial"/>
                <w:color w:val="auto"/>
                <w:spacing w:val="-6"/>
                <w:sz w:val="21"/>
                <w:szCs w:val="21"/>
                <w:lang w:eastAsia="zh-CN"/>
              </w:rPr>
              <w:t>：</w:t>
            </w:r>
            <w:r>
              <w:rPr>
                <w:rFonts w:hint="eastAsia" w:ascii="宋体" w:hAnsi="宋体" w:eastAsia="宋体" w:cs="Arial"/>
                <w:color w:val="auto"/>
                <w:spacing w:val="-6"/>
                <w:sz w:val="21"/>
                <w:szCs w:val="21"/>
                <w:lang w:eastAsia="zh-CN"/>
              </w:rPr>
              <w:t>江西省宜春市樟树市观上镇观中路</w:t>
            </w:r>
            <w:r>
              <w:rPr>
                <w:rFonts w:hint="eastAsia" w:ascii="宋体" w:hAnsi="宋体" w:cs="Arial"/>
                <w:color w:val="auto"/>
                <w:spacing w:val="-6"/>
                <w:sz w:val="21"/>
                <w:szCs w:val="21"/>
                <w:lang w:val="en-US" w:eastAsia="zh-CN"/>
              </w:rPr>
              <w:t>6</w:t>
            </w:r>
            <w:r>
              <w:rPr>
                <w:rFonts w:hint="eastAsia" w:ascii="宋体" w:hAnsi="宋体" w:eastAsia="宋体" w:cs="Arial"/>
                <w:color w:val="auto"/>
                <w:spacing w:val="-6"/>
                <w:sz w:val="21"/>
                <w:szCs w:val="21"/>
                <w:lang w:eastAsia="zh-CN"/>
              </w:rPr>
              <w:t>号</w:t>
            </w:r>
            <w:r>
              <w:rPr>
                <w:rFonts w:hint="eastAsia" w:ascii="宋体" w:hAnsi="宋体" w:cs="Arial"/>
                <w:color w:val="auto"/>
                <w:spacing w:val="-6"/>
                <w:sz w:val="21"/>
                <w:szCs w:val="21"/>
                <w:lang w:eastAsia="zh-CN"/>
              </w:rPr>
              <w:t>；</w:t>
            </w:r>
          </w:p>
          <w:p>
            <w:pPr>
              <w:adjustRightInd w:val="0"/>
              <w:snapToGrid w:val="0"/>
              <w:spacing w:line="360" w:lineRule="auto"/>
              <w:ind w:right="120" w:rightChars="50" w:firstLine="396" w:firstLineChars="200"/>
              <w:textAlignment w:val="baseline"/>
              <w:rPr>
                <w:rFonts w:hint="default"/>
                <w:lang w:val="en-US" w:eastAsia="zh-CN"/>
              </w:rPr>
            </w:pPr>
            <w:r>
              <w:rPr>
                <w:rFonts w:hint="eastAsia" w:ascii="宋体" w:hAnsi="宋体" w:cs="Arial"/>
                <w:color w:val="auto"/>
                <w:spacing w:val="-6"/>
                <w:sz w:val="21"/>
                <w:szCs w:val="21"/>
                <w:lang w:val="en-US" w:eastAsia="zh-CN"/>
              </w:rPr>
              <w:t>生产经营地址：江西省樟树市盐城大道锦绣江南19-25。</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主要经营范围包括</w:t>
            </w:r>
            <w:r>
              <w:rPr>
                <w:rFonts w:hint="eastAsia" w:ascii="宋体" w:hAnsi="宋体" w:cs="Arial"/>
                <w:color w:val="auto"/>
                <w:spacing w:val="-6"/>
                <w:sz w:val="21"/>
                <w:szCs w:val="21"/>
                <w:lang w:eastAsia="zh-CN"/>
              </w:rPr>
              <w:t>：</w:t>
            </w:r>
            <w:r>
              <w:rPr>
                <w:rFonts w:hint="eastAsia" w:ascii="宋体" w:hAnsi="宋体" w:eastAsia="宋体" w:cs="Arial"/>
                <w:color w:val="auto"/>
                <w:spacing w:val="-6"/>
                <w:sz w:val="21"/>
                <w:szCs w:val="21"/>
                <w:lang w:eastAsia="zh-CN"/>
              </w:rPr>
              <w:t>智慧档案馆系统设备、智慧图书馆系统设备、智慧校园系统设备、库房安全环境控制系统设备、库房温、湿度控制系统、警用装备（国家限制性除外）、钾能型枪弹柜、枪弹柜管理系统、智能物证、涉案财物管理系统、身份证自助设备、安防设备、消防设备、射击器械及器材（枪支、弩等国家限制射击器械及器材除外）、环保设备、实验室设备、实验室系统工程、办公设备、医疗设备、教育设备、档案管理设备、智能型密集架、，书架、货架、金库门、银行尾款库（柜）、军用制式营具、金属设备设计、制造、销售、服务及进出口经营权：靶场设备设计、生产、销售、研发；安全技术防范工程设计、施工：建筑机电安装工程：电子产品销售：计算机信息系统集成；计算机软、硬件产品研发、技术转让、技术咨询、技术服务。（依法须经批准的项目，经相关部门批准后方可开展经营活动）</w:t>
            </w:r>
          </w:p>
          <w:p>
            <w:pPr>
              <w:adjustRightInd w:val="0"/>
              <w:snapToGrid w:val="0"/>
              <w:spacing w:line="360" w:lineRule="auto"/>
              <w:ind w:right="120" w:rightChars="50" w:firstLine="396" w:firstLineChars="200"/>
              <w:textAlignment w:val="baseline"/>
              <w:rPr>
                <w:rFonts w:hint="default"/>
                <w:lang w:val="en-US" w:eastAsia="zh-CN"/>
              </w:rPr>
            </w:pPr>
            <w:r>
              <w:rPr>
                <w:rFonts w:hint="eastAsia" w:ascii="宋体" w:hAnsi="宋体" w:cs="Arial"/>
                <w:color w:val="auto"/>
                <w:spacing w:val="-6"/>
                <w:sz w:val="21"/>
                <w:szCs w:val="21"/>
                <w:lang w:val="en-US" w:eastAsia="zh-CN"/>
              </w:rPr>
              <w:t>经营范围覆盖了体系认证范围。</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eastAsia="宋体" w:cs="Arial"/>
                <w:color w:val="auto"/>
                <w:spacing w:val="-6"/>
                <w:sz w:val="21"/>
                <w:szCs w:val="21"/>
                <w:lang w:eastAsia="zh-CN"/>
              </w:rPr>
              <w:t>经营面积</w:t>
            </w:r>
            <w:r>
              <w:rPr>
                <w:rFonts w:hint="eastAsia" w:ascii="宋体" w:hAnsi="宋体" w:cs="Arial"/>
                <w:color w:val="auto"/>
                <w:spacing w:val="-6"/>
                <w:sz w:val="21"/>
                <w:szCs w:val="21"/>
                <w:lang w:val="en-US" w:eastAsia="zh-CN"/>
              </w:rPr>
              <w:t>6</w:t>
            </w:r>
            <w:r>
              <w:rPr>
                <w:rFonts w:hint="eastAsia" w:ascii="宋体" w:hAnsi="宋体" w:eastAsia="宋体" w:cs="Arial"/>
                <w:color w:val="auto"/>
                <w:spacing w:val="-6"/>
                <w:sz w:val="21"/>
                <w:szCs w:val="21"/>
                <w:lang w:eastAsia="zh-CN"/>
              </w:rPr>
              <w:t>00㎡，公司人员共1</w:t>
            </w:r>
            <w:r>
              <w:rPr>
                <w:rFonts w:hint="eastAsia" w:ascii="宋体" w:hAnsi="宋体" w:cs="Arial"/>
                <w:color w:val="auto"/>
                <w:spacing w:val="-6"/>
                <w:sz w:val="21"/>
                <w:szCs w:val="21"/>
                <w:lang w:val="en-US" w:eastAsia="zh-CN"/>
              </w:rPr>
              <w:t>0</w:t>
            </w:r>
            <w:r>
              <w:rPr>
                <w:rFonts w:hint="eastAsia" w:ascii="宋体" w:hAnsi="宋体" w:eastAsia="宋体" w:cs="Arial"/>
                <w:color w:val="auto"/>
                <w:spacing w:val="-6"/>
                <w:sz w:val="21"/>
                <w:szCs w:val="21"/>
                <w:lang w:eastAsia="zh-CN"/>
              </w:rPr>
              <w:t>人，配有销售人员、办公人员</w:t>
            </w:r>
            <w:r>
              <w:rPr>
                <w:rFonts w:hint="eastAsia" w:ascii="宋体" w:hAnsi="宋体" w:cs="Arial"/>
                <w:color w:val="auto"/>
                <w:spacing w:val="-6"/>
                <w:sz w:val="21"/>
                <w:szCs w:val="21"/>
                <w:lang w:eastAsia="zh-CN"/>
              </w:rPr>
              <w:t>；</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办公设备有办公桌、文件柜、复印机、电脑、打印机等。</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eastAsia="zh-CN"/>
              </w:rPr>
            </w:pPr>
            <w:r>
              <w:rPr>
                <w:rFonts w:hint="eastAsia" w:ascii="宋体" w:hAnsi="宋体" w:eastAsia="宋体" w:cs="Arial"/>
                <w:color w:val="auto"/>
                <w:spacing w:val="-6"/>
                <w:sz w:val="21"/>
                <w:szCs w:val="21"/>
                <w:lang w:eastAsia="zh-CN"/>
              </w:rPr>
              <w:t>公司组织机构设置为：管理层、行政部、供销部；</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eastAsia="宋体" w:cs="Arial"/>
                <w:color w:val="auto"/>
                <w:spacing w:val="-6"/>
                <w:sz w:val="21"/>
                <w:szCs w:val="21"/>
              </w:rPr>
              <w:t>总经理定期汇总分析市场情况，包括行业发展情况，相关企业产品分析，竞品分析，</w:t>
            </w:r>
            <w:r>
              <w:rPr>
                <w:rFonts w:hint="eastAsia" w:ascii="宋体" w:hAnsi="宋体" w:cs="Arial"/>
                <w:color w:val="auto"/>
                <w:spacing w:val="-6"/>
                <w:sz w:val="21"/>
                <w:szCs w:val="21"/>
              </w:rPr>
              <w:t>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如</w:t>
            </w:r>
            <w:r>
              <w:rPr>
                <w:rFonts w:hint="eastAsia" w:ascii="宋体" w:hAnsi="宋体" w:cs="Arial"/>
                <w:color w:val="auto"/>
                <w:spacing w:val="-6"/>
                <w:sz w:val="21"/>
                <w:szCs w:val="21"/>
                <w:lang w:eastAsia="zh-CN"/>
              </w:rPr>
              <w:t>：</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外部因素——国家政策变化、客户需求的变化、新技术的运用等；</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内部因素有-公司文化、内部管理机制的建立、人员稳定性、员工技术能力等；</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rPr>
            </w:pPr>
            <w:r>
              <w:rPr>
                <w:rFonts w:hint="eastAsia" w:ascii="宋体" w:hAnsi="宋体" w:eastAsia="宋体" w:cs="Arial"/>
                <w:color w:val="auto"/>
                <w:spacing w:val="-6"/>
                <w:sz w:val="21"/>
                <w:szCs w:val="21"/>
              </w:rPr>
              <w:t>这些因素包括了需要考虑的正面和负面因素或条件。</w:t>
            </w:r>
          </w:p>
          <w:p>
            <w:pPr>
              <w:adjustRightInd w:val="0"/>
              <w:snapToGrid w:val="0"/>
              <w:spacing w:line="360" w:lineRule="auto"/>
              <w:ind w:right="120" w:rightChars="50" w:firstLine="396" w:firstLineChars="200"/>
              <w:textAlignment w:val="baseline"/>
              <w:rPr>
                <w:rFonts w:hint="eastAsia" w:ascii="宋体" w:hAnsi="宋体"/>
                <w:b/>
                <w:sz w:val="21"/>
                <w:szCs w:val="21"/>
              </w:rPr>
            </w:pPr>
            <w:r>
              <w:rPr>
                <w:rFonts w:hint="eastAsia" w:ascii="宋体" w:hAnsi="宋体" w:eastAsia="宋体" w:cs="Arial"/>
                <w:color w:val="auto"/>
                <w:spacing w:val="-6"/>
                <w:sz w:val="21"/>
                <w:szCs w:val="21"/>
              </w:rPr>
              <w:t>公司每年根据公司销售人员从市场、客户、网络等搜集到的信息并结合公司自身业务运作情况进行分析，通过分析对这些内部和外部因素的相关信息进行监视和评审以确保其充分和适宜。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spacing w:line="360" w:lineRule="auto"/>
              <w:rPr>
                <w:rFonts w:hint="eastAsia" w:ascii="宋体" w:hAnsi="宋体" w:eastAsia="宋体" w:cs="Times New Roman"/>
                <w:b/>
                <w:sz w:val="21"/>
                <w:szCs w:val="21"/>
              </w:rPr>
            </w:pPr>
            <w:r>
              <w:rPr>
                <w:rFonts w:ascii="宋体" w:hAnsi="宋体" w:eastAsia="宋体" w:cs="Times New Roman"/>
                <w:b/>
                <w:sz w:val="21"/>
                <w:szCs w:val="21"/>
              </w:rPr>
              <w:t>2</w:t>
            </w:r>
            <w:r>
              <w:rPr>
                <w:rFonts w:hint="eastAsia" w:ascii="宋体" w:hAnsi="宋体" w:eastAsia="宋体" w:cs="Times New Roman"/>
                <w:b/>
                <w:sz w:val="21"/>
                <w:szCs w:val="21"/>
              </w:rPr>
              <w:t>、相关方需求和期望识别情况</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公司确定了与质量、环境、职业健康安全管理体系有关的相关方包括顾客/最终消费者、员工、政府、外部供方、竞争对手、社会、相邻单位；</w:t>
            </w:r>
          </w:p>
          <w:p>
            <w:pPr>
              <w:adjustRightInd w:val="0"/>
              <w:snapToGrid w:val="0"/>
              <w:spacing w:line="360" w:lineRule="auto"/>
              <w:ind w:right="120" w:rightChars="50" w:firstLine="396" w:firstLineChars="200"/>
              <w:textAlignment w:val="baseline"/>
            </w:pPr>
            <w:r>
              <w:rPr>
                <w:rFonts w:hint="eastAsia" w:ascii="宋体" w:hAnsi="宋体" w:eastAsia="宋体" w:cs="Arial"/>
                <w:color w:val="auto"/>
                <w:spacing w:val="-6"/>
                <w:sz w:val="21"/>
                <w:szCs w:val="21"/>
                <w:highlight w:val="none"/>
                <w:lang w:val="en-US" w:eastAsia="zh-CN"/>
              </w:rPr>
              <w:t>相关方期望或要求识别表中明确了相关方的需求，以及监视和测量、采取应对措施等要求；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spacing w:line="360" w:lineRule="auto"/>
              <w:rPr>
                <w:rFonts w:hint="eastAsia"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sym w:font="Wingdings 2" w:char="0052"/>
            </w:r>
            <w:r>
              <w:rPr>
                <w:rFonts w:hint="eastAsia" w:ascii="宋体" w:hAnsi="宋体" w:eastAsia="宋体" w:cs="Times New Roman"/>
                <w:b/>
                <w:sz w:val="21"/>
                <w:szCs w:val="21"/>
              </w:rPr>
              <w:t>质量</w:t>
            </w:r>
            <w:r>
              <w:rPr>
                <w:rFonts w:ascii="宋体" w:hAnsi="宋体" w:eastAsia="宋体" w:cs="Times New Roman"/>
                <w:b/>
                <w:sz w:val="21"/>
                <w:szCs w:val="21"/>
              </w:rPr>
              <w:t>/</w:t>
            </w:r>
            <w:r>
              <w:rPr>
                <w:rFonts w:hint="eastAsia" w:ascii="宋体" w:hAnsi="宋体" w:eastAsia="宋体" w:cs="Times New Roman"/>
                <w:b/>
                <w:sz w:val="21"/>
                <w:szCs w:val="21"/>
              </w:rPr>
              <w:sym w:font="Wingdings 2" w:char="0052"/>
            </w:r>
            <w:r>
              <w:rPr>
                <w:rFonts w:hint="eastAsia" w:ascii="宋体" w:hAnsi="宋体" w:eastAsia="宋体" w:cs="Times New Roman"/>
                <w:b/>
                <w:sz w:val="21"/>
                <w:szCs w:val="21"/>
              </w:rPr>
              <w:t>环境</w:t>
            </w:r>
            <w:r>
              <w:rPr>
                <w:rFonts w:ascii="宋体" w:hAnsi="宋体" w:eastAsia="宋体" w:cs="Times New Roman"/>
                <w:b/>
                <w:sz w:val="21"/>
                <w:szCs w:val="21"/>
              </w:rPr>
              <w:t>/</w:t>
            </w:r>
            <w:r>
              <w:rPr>
                <w:rFonts w:hint="eastAsia" w:ascii="宋体" w:hAnsi="宋体" w:eastAsia="宋体" w:cs="Times New Roman"/>
                <w:b/>
                <w:sz w:val="21"/>
                <w:szCs w:val="21"/>
              </w:rPr>
              <w:sym w:font="Wingdings 2" w:char="0052"/>
            </w:r>
            <w:r>
              <w:rPr>
                <w:rFonts w:hint="eastAsia" w:ascii="宋体" w:hAnsi="宋体" w:eastAsia="宋体" w:cs="Times New Roman"/>
                <w:b/>
                <w:sz w:val="21"/>
                <w:szCs w:val="21"/>
              </w:rPr>
              <w:t>职业健康安全方针（组织方针的适宜性</w:t>
            </w:r>
            <w:r>
              <w:rPr>
                <w:rFonts w:ascii="宋体" w:hAnsi="宋体" w:eastAsia="宋体" w:cs="Times New Roman"/>
                <w:b/>
                <w:sz w:val="21"/>
                <w:szCs w:val="21"/>
              </w:rPr>
              <w:t>/</w:t>
            </w:r>
            <w:r>
              <w:rPr>
                <w:rFonts w:hint="eastAsia" w:ascii="宋体" w:hAnsi="宋体" w:eastAsia="宋体" w:cs="Times New Roman"/>
                <w:b/>
                <w:sz w:val="21"/>
                <w:szCs w:val="21"/>
              </w:rPr>
              <w:t>持续适宜性、方针的传达及职工的理解等）</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 xml:space="preserve">质量至上、持续创新、诚实守信、顾客至上 </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预防为主，降低风险；遵章守法，创造和谐</w:t>
            </w:r>
          </w:p>
          <w:p>
            <w:pPr>
              <w:adjustRightInd w:val="0"/>
              <w:snapToGrid w:val="0"/>
              <w:spacing w:line="360" w:lineRule="auto"/>
              <w:ind w:right="120" w:rightChars="50" w:firstLine="396" w:firstLineChars="200"/>
              <w:textAlignment w:val="baseline"/>
            </w:pPr>
            <w:r>
              <w:rPr>
                <w:rFonts w:hint="eastAsia" w:ascii="宋体" w:hAnsi="宋体" w:eastAsia="宋体" w:cs="Arial"/>
                <w:color w:val="auto"/>
                <w:spacing w:val="-6"/>
                <w:sz w:val="21"/>
                <w:szCs w:val="21"/>
                <w:highlight w:val="none"/>
                <w:lang w:val="en-US" w:eastAsia="zh-CN"/>
              </w:rPr>
              <w:t>方针适宜于公司现状，在管理手册中明确，通过文件发放，是员工获知，适用时提供给相关方。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spacing w:line="360" w:lineRule="auto"/>
              <w:rPr>
                <w:rFonts w:hint="eastAsia" w:ascii="宋体" w:hAnsi="宋体" w:eastAsia="宋体" w:cs="Times New Roman"/>
                <w:b/>
                <w:sz w:val="21"/>
                <w:szCs w:val="21"/>
              </w:rPr>
            </w:pPr>
            <w:r>
              <w:rPr>
                <w:rFonts w:ascii="宋体" w:hAnsi="宋体" w:eastAsia="宋体" w:cs="Times New Roman"/>
                <w:b/>
                <w:sz w:val="21"/>
                <w:szCs w:val="21"/>
              </w:rPr>
              <w:t>4</w:t>
            </w:r>
            <w:r>
              <w:rPr>
                <w:rFonts w:hint="eastAsia" w:ascii="宋体" w:hAnsi="宋体" w:eastAsia="宋体" w:cs="Times New Roman"/>
                <w:b/>
                <w:sz w:val="21"/>
                <w:szCs w:val="21"/>
              </w:rPr>
              <w:t>、风险识别与控制策划</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基于对4.1和4.2的考虑，分析了公司存在的风险和机遇：</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highlight w:val="none"/>
              </w:rPr>
            </w:pPr>
            <w:r>
              <w:rPr>
                <w:rFonts w:hint="eastAsia" w:ascii="宋体" w:hAnsi="宋体" w:cs="Arial"/>
                <w:color w:val="auto"/>
                <w:spacing w:val="-6"/>
                <w:sz w:val="21"/>
                <w:szCs w:val="21"/>
                <w:highlight w:val="none"/>
                <w:lang w:val="en-US" w:eastAsia="zh-CN"/>
              </w:rPr>
              <w:t>存在的机遇：公司持续运营多年，积累了良好的信誉和相关方业务关系基础，人员的稳定性和能力，给公司的发展带来了机遇</w:t>
            </w:r>
            <w:r>
              <w:rPr>
                <w:rFonts w:hint="eastAsia" w:ascii="宋体" w:hAnsi="宋体" w:cs="Arial"/>
                <w:color w:val="auto"/>
                <w:spacing w:val="-6"/>
                <w:sz w:val="21"/>
                <w:szCs w:val="21"/>
                <w:highlight w:val="none"/>
              </w:rPr>
              <w:t>。</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highlight w:val="none"/>
              </w:rPr>
            </w:pPr>
            <w:r>
              <w:rPr>
                <w:rFonts w:hint="eastAsia" w:ascii="宋体" w:hAnsi="宋体" w:cs="Arial"/>
                <w:color w:val="auto"/>
                <w:spacing w:val="-6"/>
                <w:sz w:val="21"/>
                <w:szCs w:val="21"/>
                <w:highlight w:val="none"/>
                <w:lang w:val="en-US" w:eastAsia="zh-CN"/>
              </w:rPr>
              <w:t>存在的风险：行业进入门槛低导致竞争对手多、国家政策的变化导致更多的业务通过招投标进行面临的低价中标等</w:t>
            </w:r>
            <w:r>
              <w:rPr>
                <w:rFonts w:hint="eastAsia" w:ascii="宋体" w:hAnsi="宋体" w:cs="Arial"/>
                <w:color w:val="auto"/>
                <w:spacing w:val="-6"/>
                <w:sz w:val="21"/>
                <w:szCs w:val="21"/>
                <w:highlight w:val="none"/>
                <w:lang w:eastAsia="zh-CN"/>
              </w:rPr>
              <w:t>；</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编制有《风险和机遇的应对控制程序》，对组织内外的风险和机遇进行了策划。</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lang w:val="en-US" w:eastAsia="zh-CN"/>
              </w:rPr>
              <w:t>重要环境因素：</w:t>
            </w:r>
            <w:r>
              <w:rPr>
                <w:rFonts w:hint="eastAsia" w:ascii="宋体" w:hAnsi="宋体" w:cs="Arial"/>
                <w:color w:val="auto"/>
                <w:spacing w:val="-6"/>
                <w:sz w:val="21"/>
                <w:szCs w:val="21"/>
              </w:rPr>
              <w:t>潜在火灾、能源消耗、固废排放</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控制措施：一般固废集中收集外售至废品回收站；危废</w:t>
            </w:r>
            <w:r>
              <w:rPr>
                <w:rFonts w:hint="eastAsia" w:ascii="宋体" w:hAnsi="宋体" w:cs="Arial"/>
                <w:color w:val="auto"/>
                <w:spacing w:val="-6"/>
                <w:sz w:val="21"/>
                <w:szCs w:val="21"/>
                <w:lang w:val="en-US" w:eastAsia="zh-CN"/>
              </w:rPr>
              <w:t>以旧换新由供应商</w:t>
            </w:r>
            <w:r>
              <w:rPr>
                <w:rFonts w:hint="eastAsia" w:ascii="宋体" w:hAnsi="宋体" w:cs="Arial"/>
                <w:color w:val="auto"/>
                <w:spacing w:val="-6"/>
                <w:sz w:val="21"/>
                <w:szCs w:val="21"/>
              </w:rPr>
              <w:t>回收；提高安全意识；做好火灾预防措施。</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一旦发生按相关应急预案执行；</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制定目标、指标和管理方案。</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不可接受风险：触电伤害、潜在火灾、交通意外伤害；</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控制措施：制定目标、指标和管理方案</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提高交通安全意识；做好火灾预防措施。</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一旦发生按相关应急预案执行。</w:t>
            </w:r>
          </w:p>
          <w:p>
            <w:pPr>
              <w:adjustRightInd w:val="0"/>
              <w:snapToGrid w:val="0"/>
              <w:spacing w:line="360" w:lineRule="auto"/>
              <w:ind w:right="120" w:rightChars="50" w:firstLine="396" w:firstLineChars="200"/>
              <w:textAlignment w:val="baseline"/>
            </w:pPr>
            <w:r>
              <w:rPr>
                <w:rFonts w:hint="eastAsia" w:ascii="宋体" w:hAnsi="宋体" w:cs="Arial"/>
                <w:color w:val="auto"/>
                <w:spacing w:val="-6"/>
                <w:sz w:val="21"/>
                <w:szCs w:val="21"/>
              </w:rPr>
              <w:t>公司依据ISO9001：2015、ISO14001：2015、ISO45001：2018标准的要求并结合本公司的具体情况，采取PDCA的过程方法，建立、实施、保持并持续改进质量、环境、职业健康安全管理体系。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360" w:lineRule="auto"/>
              <w:ind w:right="120" w:rightChars="50" w:firstLine="422" w:firstLineChars="200"/>
              <w:textAlignment w:val="baseline"/>
              <w:rPr>
                <w:rFonts w:hint="eastAsia" w:ascii="宋体" w:hAnsi="宋体" w:cs="Arial"/>
                <w:b/>
                <w:bCs/>
                <w:color w:val="auto"/>
                <w:spacing w:val="-6"/>
                <w:sz w:val="21"/>
                <w:szCs w:val="21"/>
                <w:lang w:val="en-US" w:eastAsia="zh-CN"/>
              </w:rPr>
            </w:pPr>
            <w:r>
              <w:rPr>
                <w:rFonts w:hint="eastAsia" w:ascii="宋体" w:hAnsi="宋体"/>
                <w:b/>
                <w:sz w:val="21"/>
                <w:szCs w:val="21"/>
              </w:rPr>
              <w:t>质量管理体系过程有：</w:t>
            </w:r>
            <w:r>
              <w:rPr>
                <w:rFonts w:hint="eastAsia" w:ascii="宋体" w:hAnsi="宋体" w:cs="Arial"/>
                <w:b/>
                <w:bCs/>
                <w:color w:val="auto"/>
                <w:spacing w:val="-6"/>
                <w:sz w:val="21"/>
                <w:szCs w:val="21"/>
                <w:lang w:val="en-US" w:eastAsia="zh-CN"/>
              </w:rPr>
              <w:t>产品要求信息获取--产品要求评审--签订合同--采购--质检--销售</w:t>
            </w:r>
          </w:p>
          <w:p>
            <w:pPr>
              <w:tabs>
                <w:tab w:val="left" w:pos="540"/>
              </w:tabs>
              <w:spacing w:line="360" w:lineRule="auto"/>
              <w:ind w:left="209" w:leftChars="87" w:firstLine="211" w:firstLineChars="100"/>
              <w:rPr>
                <w:rFonts w:ascii="宋体" w:hAnsi="宋体"/>
                <w:b/>
                <w:sz w:val="21"/>
                <w:szCs w:val="21"/>
              </w:rPr>
            </w:pPr>
            <w:r>
              <w:rPr>
                <w:rFonts w:hint="eastAsia" w:ascii="宋体" w:hAnsi="宋体"/>
                <w:b/>
                <w:sz w:val="21"/>
                <w:szCs w:val="21"/>
              </w:rPr>
              <w:t>其中关键过程有</w:t>
            </w:r>
            <w:r>
              <w:rPr>
                <w:rFonts w:hint="eastAsia" w:ascii="宋体" w:hAnsi="宋体" w:cs="Arial"/>
                <w:b/>
                <w:bCs/>
                <w:color w:val="auto"/>
                <w:spacing w:val="-6"/>
                <w:sz w:val="21"/>
                <w:szCs w:val="21"/>
                <w:u w:val="single"/>
                <w:lang w:val="en-US" w:eastAsia="zh-CN"/>
              </w:rPr>
              <w:t>销售服务提供</w:t>
            </w:r>
          </w:p>
          <w:p>
            <w:pPr>
              <w:tabs>
                <w:tab w:val="left" w:pos="540"/>
              </w:tabs>
              <w:spacing w:line="360" w:lineRule="auto"/>
              <w:ind w:left="209" w:leftChars="87" w:firstLine="211" w:firstLineChars="100"/>
              <w:rPr>
                <w:rFonts w:ascii="宋体" w:hAnsi="宋体"/>
                <w:b/>
                <w:sz w:val="21"/>
                <w:szCs w:val="21"/>
              </w:rPr>
            </w:pPr>
            <w:r>
              <w:rPr>
                <w:rFonts w:hint="eastAsia" w:ascii="宋体" w:hAnsi="宋体"/>
                <w:b/>
                <w:sz w:val="21"/>
                <w:szCs w:val="21"/>
              </w:rPr>
              <w:t>需要确认过程</w:t>
            </w:r>
            <w:r>
              <w:rPr>
                <w:rFonts w:hint="eastAsia" w:ascii="宋体" w:hAnsi="宋体" w:cs="Arial"/>
                <w:b/>
                <w:bCs/>
                <w:color w:val="auto"/>
                <w:spacing w:val="-6"/>
                <w:sz w:val="21"/>
                <w:szCs w:val="21"/>
                <w:u w:val="single"/>
                <w:lang w:val="en-US" w:eastAsia="zh-CN"/>
              </w:rPr>
              <w:t>销售服务提供</w:t>
            </w:r>
          </w:p>
          <w:p>
            <w:pPr>
              <w:tabs>
                <w:tab w:val="left" w:pos="540"/>
              </w:tabs>
              <w:spacing w:line="360" w:lineRule="auto"/>
              <w:ind w:left="211" w:hanging="211" w:hangingChars="100"/>
              <w:rPr>
                <w:rFonts w:ascii="宋体" w:hAnsi="宋体"/>
                <w:b/>
                <w:sz w:val="21"/>
                <w:szCs w:val="21"/>
              </w:rPr>
            </w:pPr>
            <w:r>
              <w:rPr>
                <w:rFonts w:ascii="宋体" w:hAnsi="宋体"/>
                <w:b/>
                <w:sz w:val="21"/>
                <w:szCs w:val="21"/>
              </w:rPr>
              <mc:AlternateContent>
                <mc:Choice Requires="wps">
                  <w:drawing>
                    <wp:anchor distT="0" distB="0" distL="114300" distR="114300" simplePos="0" relativeHeight="251659264" behindDoc="0" locked="0" layoutInCell="1" allowOverlap="1">
                      <wp:simplePos x="0" y="0"/>
                      <wp:positionH relativeFrom="column">
                        <wp:posOffset>700405</wp:posOffset>
                      </wp:positionH>
                      <wp:positionV relativeFrom="paragraph">
                        <wp:posOffset>161925</wp:posOffset>
                      </wp:positionV>
                      <wp:extent cx="533400" cy="0"/>
                      <wp:effectExtent l="0" t="0" r="0" b="0"/>
                      <wp:wrapNone/>
                      <wp:docPr id="5" name="自选图形 3"/>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55.15pt;margin-top:12.75pt;height:0pt;width:42pt;z-index:251659264;mso-width-relative:page;mso-height-relative:page;" filled="f" stroked="t" coordsize="21600,21600" o:gfxdata="UEsDBAoAAAAAAIdO4kAAAAAAAAAAAAAAAAAEAAAAZHJzL1BLAwQUAAAACACHTuJAUnvZf9YAAAAJ&#10;AQAADwAAAGRycy9kb3ducmV2LnhtbE2PwU7DMBBE70j9B2srcUHUTiCIhjhVhcSBI20lrm68JKHx&#10;OoqdpvTr2YpDOc7s0+xMsTq5ThxxCK0nDclCgUCqvG2p1rDbvt0/gwjRkDWdJ9TwgwFW5eymMLn1&#10;E33gcRNrwSEUcqOhibHPpQxVg86Ehe+R+PblB2ciy6GWdjATh7tOpko9SWda4g+N6fG1weqwGZ0G&#10;DGOWqPXS1bv383T3mZ6/p36r9e08US8gIp7iFYZLfa4OJXfa+5FsEB3rRD0wqiHNMhAXYPnIxv7P&#10;kGUh/y8ofwFQSwMEFAAAAAgAh07iQO1t+2PzAQAA4gMAAA4AAABkcnMvZTJvRG9jLnhtbK1TzY7T&#10;MBC+I/EOlu80aUsRRE330LJcEFQCHmDqOIkl/8njbdobN8QzcOPIO8DbrARvwdjpdmG59EAOztgz&#10;8818n8fLq4PRbC8DKmdrPp2UnEkrXKNsV/MP76+fPOcMI9gGtLOy5keJ/Gr1+NFy8JWcud7pRgZG&#10;IBarwde8j9FXRYGilwZw4ry05GxdMBBpG7qiCTAQutHFrCyfFYMLjQ9OSEQ63YxOfkIMlwC6tlVC&#10;bpy4MdLGETVIDZEoYa888lXutm2liG/bFmVkuubENOaVipC9S2uxWkLVBfC9EqcW4JIWHnAyoCwV&#10;PUNtIAK7CeofKKNEcOjaOBHOFCORrAixmJYPtHnXg5eZC0mN/iw6/j9Y8Wa/DUw1NV9wZsHQhf/8&#10;9O3Xx8+3X37cfv/K5kmhwWNFgWu7Dacd+m1IdA9tMOlPRNghq3o8qyoPkQk6XMznT0vSW9y5ivs8&#10;HzC+ks6wZNQcYwDV9XHtrKWrc2GaRYX9a4xUmRLvElJRbdlQ8xeLGbUugEaxpREg03iig7bLuei0&#10;aq6V1ikDQ7db68D2kMYhf4kf4f4VlopsAPsxLrvGQeklNC9tw+LRk1CW3gdPLRjZcKYlPadkESBU&#10;EZS+JJJKa0sdJIlHUZO1c80xa53P6epzj6cxTbP15z5n3z/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e9l/1gAAAAkBAAAPAAAAAAAAAAEAIAAAACIAAABkcnMvZG93bnJldi54bWxQSwECFAAU&#10;AAAACACHTuJA7W37Y/MBAADiAwAADgAAAAAAAAABACAAAAAlAQAAZHJzL2Uyb0RvYy54bWxQSwUG&#10;AAAAAAYABgBZAQAAigUAAAAA&#10;">
                      <v:fill on="f" focussize="0,0"/>
                      <v:stroke color="#000000" joinstyle="round"/>
                      <v:imagedata o:title=""/>
                      <o:lock v:ext="edit" aspectratio="f"/>
                    </v:shape>
                  </w:pict>
                </mc:Fallback>
              </mc:AlternateConten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，删减理由：</w:t>
            </w:r>
            <w:r>
              <w:rPr>
                <w:rFonts w:hint="eastAsia" w:ascii="宋体" w:hAnsi="宋体" w:cs="Arial"/>
                <w:color w:val="auto"/>
                <w:spacing w:val="-6"/>
                <w:sz w:val="21"/>
                <w:szCs w:val="21"/>
                <w:u w:val="single"/>
                <w:lang w:val="en-US" w:eastAsia="zh-CN"/>
              </w:rPr>
              <w:t>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书架、货架、无人机、智慧档案馆、智能密集架、智慧图书馆、库房一体化控制系统、激光模拟训练系统、实弹模拟训练系统的销售及其所涉及的相关管理活动均参照行业标准、企业规范及客户提供的尺寸、工艺要求组织销售，其销售过程不涉及GB/T19001-2016/ISO 9001:2015标准中8.3条款内容，其不适用的要求不影响公司确保其产品和服务合格的能力和责任，对增强顾客满意也不会产生影响。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lang w:val="en-US" w:eastAsia="zh-CN"/>
              </w:rPr>
              <w:t>重要环境因素：</w:t>
            </w:r>
            <w:r>
              <w:rPr>
                <w:rFonts w:hint="eastAsia" w:ascii="宋体" w:hAnsi="宋体" w:cs="Arial"/>
                <w:color w:val="auto"/>
                <w:spacing w:val="-6"/>
                <w:sz w:val="21"/>
                <w:szCs w:val="21"/>
              </w:rPr>
              <w:t>潜在火灾、能源消耗、固废排放</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控制措施：一般固废集中收集外售至废品回收站；危废</w:t>
            </w:r>
            <w:r>
              <w:rPr>
                <w:rFonts w:hint="eastAsia" w:ascii="宋体" w:hAnsi="宋体" w:cs="Arial"/>
                <w:color w:val="auto"/>
                <w:spacing w:val="-6"/>
                <w:sz w:val="21"/>
                <w:szCs w:val="21"/>
                <w:lang w:val="en-US" w:eastAsia="zh-CN"/>
              </w:rPr>
              <w:t>以旧换新由供应商</w:t>
            </w:r>
            <w:r>
              <w:rPr>
                <w:rFonts w:hint="eastAsia" w:ascii="宋体" w:hAnsi="宋体" w:cs="Arial"/>
                <w:color w:val="auto"/>
                <w:spacing w:val="-6"/>
                <w:sz w:val="21"/>
                <w:szCs w:val="21"/>
              </w:rPr>
              <w:t>回收；提高安全意识；做好火灾预防措施。</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一旦发生按相关应急预案执行；</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color w:val="auto"/>
                <w:spacing w:val="-6"/>
                <w:sz w:val="21"/>
                <w:szCs w:val="21"/>
              </w:rPr>
              <w:t>制定目标、指标和管理方案。</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adjustRightInd w:val="0"/>
              <w:snapToGrid w:val="0"/>
              <w:spacing w:line="360" w:lineRule="auto"/>
              <w:ind w:right="120" w:rightChars="50" w:firstLine="422" w:firstLineChars="200"/>
              <w:textAlignment w:val="baseline"/>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不可接受风险：触电伤害、潜在火灾、交通意外伤害；</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控制措施：制定目标、指标和管理方案</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提高交通安全意识；做好火灾预防措施。</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color w:val="auto"/>
                <w:spacing w:val="-6"/>
                <w:sz w:val="21"/>
                <w:szCs w:val="21"/>
              </w:rPr>
              <w:t>一旦发生按相关应急预案执行。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1"/>
              </w:numPr>
              <w:tabs>
                <w:tab w:val="left" w:pos="540"/>
              </w:tabs>
              <w:spacing w:line="360" w:lineRule="auto"/>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numPr>
                <w:ilvl w:val="0"/>
                <w:numId w:val="1"/>
              </w:numPr>
              <w:tabs>
                <w:tab w:val="left" w:pos="540"/>
              </w:tabs>
              <w:spacing w:line="360" w:lineRule="auto"/>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4"/>
              <w:numPr>
                <w:ilvl w:val="0"/>
                <w:numId w:val="1"/>
              </w:numPr>
              <w:tabs>
                <w:tab w:val="left" w:pos="540"/>
              </w:tabs>
              <w:spacing w:line="360" w:lineRule="auto"/>
              <w:ind w:firstLineChars="0"/>
              <w:rPr>
                <w:rFonts w:ascii="宋体" w:hAnsi="宋体"/>
                <w:b/>
                <w:szCs w:val="21"/>
              </w:rPr>
            </w:pPr>
            <w:r>
              <w:rPr>
                <w:rFonts w:hint="eastAsia" w:ascii="宋体" w:hAnsi="宋体"/>
                <w:b/>
                <w:szCs w:val="21"/>
              </w:rPr>
              <w:t>法律法规的宣传方式：</w:t>
            </w:r>
          </w:p>
          <w:p>
            <w:pPr>
              <w:pStyle w:val="14"/>
              <w:numPr>
                <w:ilvl w:val="0"/>
                <w:numId w:val="1"/>
              </w:numPr>
              <w:tabs>
                <w:tab w:val="left" w:pos="540"/>
              </w:tabs>
              <w:spacing w:line="360" w:lineRule="auto"/>
              <w:ind w:firstLineChars="0"/>
              <w:rPr>
                <w:rFonts w:ascii="宋体" w:hAnsi="宋体"/>
                <w:b/>
                <w:szCs w:val="21"/>
              </w:rPr>
            </w:pPr>
            <w:r>
              <w:rPr>
                <w:rFonts w:hint="eastAsia" w:ascii="宋体" w:hAnsi="宋体"/>
                <w:b/>
                <w:szCs w:val="21"/>
              </w:rPr>
              <w:t>法律法规要求及时更新了</w:t>
            </w:r>
          </w:p>
          <w:p>
            <w:pPr>
              <w:tabs>
                <w:tab w:val="left" w:pos="0"/>
              </w:tabs>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以方针为框架，建立了公司管理目标：</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2.管理目标：</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质量目标：1、交货及时率≥95%；</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          2、顾客满意度≥92分；</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环境目标：</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固体废弃物分类处理率100%；火灾事故为0。</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职业健康安全目标：</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火灾事故为0；交通意外伤害为零。</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策划了本公司的环境和安全管理方案和控制措施。</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保留“</w:t>
            </w:r>
            <w:r>
              <w:rPr>
                <w:rFonts w:hint="default" w:ascii="宋体" w:hAnsi="宋体" w:eastAsia="宋体" w:cs="Arial"/>
                <w:color w:val="auto"/>
                <w:spacing w:val="-6"/>
                <w:sz w:val="21"/>
                <w:szCs w:val="21"/>
                <w:lang w:val="en-US" w:eastAsia="zh-CN"/>
              </w:rPr>
              <w:t>目标分解考核表</w:t>
            </w:r>
            <w:r>
              <w:rPr>
                <w:rFonts w:hint="eastAsia" w:ascii="宋体" w:hAnsi="宋体" w:eastAsia="宋体" w:cs="Arial"/>
                <w:color w:val="auto"/>
                <w:spacing w:val="-6"/>
                <w:sz w:val="21"/>
                <w:szCs w:val="21"/>
                <w:lang w:val="en-US" w:eastAsia="zh-CN"/>
              </w:rPr>
              <w:t>”，2021.5，显示按照部门对目标进行了分解，考核结果显示</w:t>
            </w:r>
            <w:r>
              <w:rPr>
                <w:rFonts w:hint="default" w:ascii="宋体" w:hAnsi="宋体" w:eastAsia="宋体" w:cs="Arial"/>
                <w:color w:val="auto"/>
                <w:spacing w:val="-6"/>
                <w:sz w:val="21"/>
                <w:szCs w:val="21"/>
                <w:lang w:val="en-US" w:eastAsia="zh-CN"/>
              </w:rPr>
              <w:t>所有目标均已完成。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cs="Arial"/>
                <w:color w:val="auto"/>
                <w:spacing w:val="-6"/>
                <w:sz w:val="21"/>
                <w:szCs w:val="21"/>
                <w:lang w:val="en-US" w:eastAsia="zh-CN"/>
              </w:rPr>
              <w:t>保持</w:t>
            </w:r>
            <w:r>
              <w:rPr>
                <w:rFonts w:hint="eastAsia" w:ascii="宋体" w:hAnsi="宋体" w:cs="Arial"/>
                <w:color w:val="auto"/>
                <w:spacing w:val="-6"/>
                <w:sz w:val="21"/>
                <w:szCs w:val="21"/>
              </w:rPr>
              <w:t>《管理手册》B/0版，于2021年05月10日实施；</w:t>
            </w:r>
            <w:r>
              <w:rPr>
                <w:rFonts w:hint="eastAsia" w:ascii="宋体" w:hAnsi="宋体" w:cs="Arial"/>
                <w:color w:val="auto"/>
                <w:spacing w:val="-6"/>
                <w:sz w:val="21"/>
                <w:szCs w:val="21"/>
                <w:lang w:val="en-US" w:eastAsia="zh-CN"/>
              </w:rPr>
              <w:t>体系覆盖范围扩大</w:t>
            </w:r>
            <w:r>
              <w:rPr>
                <w:rFonts w:hint="eastAsia" w:ascii="宋体" w:hAnsi="宋体" w:cs="Arial"/>
                <w:color w:val="auto"/>
                <w:spacing w:val="-6"/>
                <w:sz w:val="21"/>
                <w:szCs w:val="21"/>
                <w:lang w:eastAsia="zh-CN"/>
              </w:rPr>
              <w:t>；</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程序文件——风险和机遇的应对控制程序、顾客满意度控制程序、采购控制程序、销售和服务管理控制程序、环境因素和危险源识别评价与控制程序、环境和职业健康安全法律法规控制程序、应急准备和响应控制程序、监视和测量控制程序、不符合/纠正和预防措施控制程序等26个；</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管理文件——固废管理制度、合同管理制度、售后服务管理制度、投标管理制度、销售人员礼仪规范制度、安全组织措施制度等10余个；</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建立有外来文件清单，收集中华人民共和国产品质量法、中华人民共和国环境保护法、中华人民共和国消防法以及公安、警用器械相关标准和法律等22个；</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建立环境、职业健康安全法律法规和其他要求清单，共110个。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restart"/>
            <w:textDirection w:val="tbRlV"/>
            <w:vAlign w:val="center"/>
          </w:tcPr>
          <w:p>
            <w:pPr>
              <w:spacing w:line="360" w:lineRule="auto"/>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adjustRightInd w:val="0"/>
              <w:snapToGrid w:val="0"/>
              <w:spacing w:line="360" w:lineRule="auto"/>
              <w:ind w:right="120"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zh-CN" w:eastAsia="zh-CN"/>
              </w:rPr>
              <w:t>公司现有员工</w:t>
            </w:r>
            <w:r>
              <w:rPr>
                <w:rFonts w:hint="eastAsia" w:ascii="宋体" w:hAnsi="宋体" w:eastAsia="宋体" w:cs="Arial"/>
                <w:spacing w:val="-6"/>
                <w:sz w:val="21"/>
                <w:szCs w:val="21"/>
                <w:lang w:val="en-US" w:eastAsia="zh-CN"/>
              </w:rPr>
              <w:t>10</w:t>
            </w:r>
            <w:r>
              <w:rPr>
                <w:rFonts w:hint="eastAsia" w:ascii="宋体" w:hAnsi="宋体" w:eastAsia="宋体" w:cs="Arial"/>
                <w:spacing w:val="-6"/>
                <w:sz w:val="21"/>
                <w:szCs w:val="21"/>
                <w:lang w:val="zh-CN" w:eastAsia="zh-CN"/>
              </w:rPr>
              <w:t>人，</w:t>
            </w:r>
            <w:r>
              <w:rPr>
                <w:rFonts w:hint="eastAsia" w:ascii="宋体" w:hAnsi="宋体" w:eastAsia="宋体" w:cs="Arial"/>
                <w:spacing w:val="-6"/>
                <w:sz w:val="21"/>
                <w:szCs w:val="21"/>
                <w:lang w:val="en-US" w:eastAsia="zh-CN"/>
              </w:rPr>
              <w:t>其中高层管理人员2人、</w:t>
            </w:r>
            <w:r>
              <w:rPr>
                <w:rFonts w:hint="eastAsia" w:ascii="宋体" w:hAnsi="宋体" w:eastAsia="宋体" w:cs="Arial"/>
                <w:spacing w:val="-6"/>
                <w:sz w:val="21"/>
                <w:szCs w:val="21"/>
                <w:lang w:val="zh-CN" w:eastAsia="zh-CN"/>
              </w:rPr>
              <w:t>技术人员</w:t>
            </w:r>
            <w:r>
              <w:rPr>
                <w:rFonts w:hint="eastAsia" w:ascii="宋体" w:hAnsi="宋体" w:eastAsia="宋体" w:cs="Arial"/>
                <w:spacing w:val="-6"/>
                <w:sz w:val="21"/>
                <w:szCs w:val="21"/>
                <w:lang w:val="en-US" w:eastAsia="zh-CN"/>
              </w:rPr>
              <w:t>4</w:t>
            </w:r>
            <w:r>
              <w:rPr>
                <w:rFonts w:hint="eastAsia" w:ascii="宋体" w:hAnsi="宋体" w:eastAsia="宋体" w:cs="Arial"/>
                <w:spacing w:val="-6"/>
                <w:sz w:val="21"/>
                <w:szCs w:val="21"/>
                <w:lang w:val="zh-CN" w:eastAsia="zh-CN"/>
              </w:rPr>
              <w:t>人；</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spacing w:val="-6"/>
                <w:sz w:val="21"/>
                <w:szCs w:val="21"/>
                <w:lang w:val="en-US" w:eastAsia="zh-CN"/>
              </w:rPr>
              <w:t>保留技术人员的能力证明；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办公设备有办公桌、文件柜、复印机、电脑、打印机等；</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color w:val="auto"/>
                <w:spacing w:val="-6"/>
                <w:sz w:val="21"/>
                <w:szCs w:val="21"/>
                <w:lang w:val="en-US" w:eastAsia="zh-CN"/>
              </w:rPr>
              <w:t>环保和安全设施：灭火器、垃圾桶等；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现场观察，办公面积约</w:t>
            </w:r>
            <w:r>
              <w:rPr>
                <w:rFonts w:hint="eastAsia" w:ascii="宋体" w:hAnsi="宋体" w:cs="Arial"/>
                <w:color w:val="auto"/>
                <w:spacing w:val="-6"/>
                <w:sz w:val="21"/>
                <w:szCs w:val="21"/>
                <w:lang w:val="en-US" w:eastAsia="zh-CN"/>
              </w:rPr>
              <w:t>6</w:t>
            </w:r>
            <w:r>
              <w:rPr>
                <w:rFonts w:hint="eastAsia" w:ascii="宋体" w:hAnsi="宋体" w:eastAsia="宋体" w:cs="Arial"/>
                <w:color w:val="auto"/>
                <w:spacing w:val="-6"/>
                <w:sz w:val="21"/>
                <w:szCs w:val="21"/>
                <w:lang w:val="en-US" w:eastAsia="zh-CN"/>
              </w:rPr>
              <w:t>00平方米，分区设置，配置的办公桌符合人机工程要求，干净整洁，照明、通风良好；配置有空调，温度适宜；有少量绿植；</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查见配置有灭火器，状态良好；监控摄像头运行正常；</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节约用水用电、纸张双面使用、禁止吸烟、无乱拉乱接电线、无超额电器使用；</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员工关系和谐，墙面张贴有文化宣传活动的资料，与工作人员交流时，情绪愉快。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lang w:val="en-US" w:eastAsia="zh-CN"/>
              </w:rPr>
              <w:t>监视测量装置主要是顾客满意度调查表等，正常使用，无需校准和检测。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的组织知识主要包括：收集的各种知识、法律法规以及转换形成各种规章制度、设计规范等，积累的管理制度、体系文件、支持性文件、各种记录表单，以前的设计资料、外部学习的资料、从顾客或外部供方收集的知识等；</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公司把组织知识用于指导公司的日常工作和管理。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lang w:val="en-US" w:eastAsia="zh-CN"/>
              </w:rPr>
              <w:t>环保和安全设施：灭火器、垃圾桶等；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lang w:val="en-US" w:eastAsia="zh-CN"/>
              </w:rPr>
              <w:t>环保和安全设施：灭火器、垃圾桶等；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720" w:type="dxa"/>
            <w:vMerge w:val="restart"/>
            <w:textDirection w:val="tbRlV"/>
            <w:vAlign w:val="center"/>
          </w:tcPr>
          <w:p>
            <w:pPr>
              <w:spacing w:line="360" w:lineRule="auto"/>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firstLine="396" w:firstLineChars="200"/>
              <w:rPr>
                <w:rFonts w:ascii="宋体" w:hAnsi="宋体"/>
                <w:b/>
                <w:sz w:val="21"/>
                <w:szCs w:val="21"/>
              </w:rPr>
            </w:pPr>
            <w:r>
              <w:rPr>
                <w:rFonts w:hint="eastAsia" w:ascii="宋体" w:hAnsi="宋体" w:eastAsia="宋体" w:cs="Arial"/>
                <w:color w:val="auto"/>
                <w:spacing w:val="-6"/>
                <w:sz w:val="21"/>
                <w:szCs w:val="21"/>
                <w:lang w:val="en-US" w:eastAsia="zh-CN"/>
              </w:rPr>
              <w:t>方针符合组织的宗旨，一体化管理方针形成文件传达到全体员工，确保得到有效控制，使全体员工正确理解并坚决执行，且应定期对其适宜性进行评审。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167" w:hanging="167" w:hangingChars="79"/>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w:t>
            </w:r>
          </w:p>
          <w:p>
            <w:pPr>
              <w:spacing w:line="360" w:lineRule="auto"/>
              <w:ind w:left="167" w:hanging="167" w:hangingChars="79"/>
              <w:rPr>
                <w:rFonts w:hint="eastAsia" w:ascii="宋体" w:hAnsi="宋体" w:eastAsia="宋体" w:cs="Times New Roman"/>
                <w:b/>
                <w:sz w:val="21"/>
                <w:szCs w:val="21"/>
              </w:rPr>
            </w:pPr>
            <w:r>
              <w:rPr>
                <w:rFonts w:hint="eastAsia" w:ascii="宋体" w:hAnsi="宋体"/>
                <w:b/>
                <w:sz w:val="21"/>
                <w:szCs w:val="21"/>
              </w:rPr>
              <w:t>组</w:t>
            </w:r>
            <w:r>
              <w:rPr>
                <w:rFonts w:hint="eastAsia" w:ascii="宋体" w:hAnsi="宋体" w:eastAsia="宋体" w:cs="Times New Roman"/>
                <w:b/>
                <w:sz w:val="21"/>
                <w:szCs w:val="21"/>
              </w:rPr>
              <w:t>织对外联络关注顾客的感受情况、信息交流包括通报相关方的情况等）</w:t>
            </w:r>
          </w:p>
          <w:p>
            <w:pPr>
              <w:spacing w:line="360" w:lineRule="auto"/>
              <w:rPr>
                <w:rFonts w:hint="eastAsia" w:ascii="宋体" w:hAnsi="宋体"/>
                <w:b/>
                <w:sz w:val="21"/>
                <w:szCs w:val="21"/>
              </w:rPr>
            </w:pPr>
            <w:r>
              <w:rPr>
                <w:rFonts w:hint="eastAsia" w:ascii="宋体" w:hAnsi="宋体"/>
                <w:b/>
                <w:sz w:val="21"/>
                <w:szCs w:val="21"/>
              </w:rPr>
              <w:t>内部沟通的情况：内部沟通方式：借助于会议、电话、口头交流等方式使全体员工达到沟通和理解</w:t>
            </w:r>
          </w:p>
          <w:p>
            <w:pPr>
              <w:spacing w:line="360" w:lineRule="auto"/>
              <w:rPr>
                <w:rFonts w:hint="eastAsia" w:ascii="宋体" w:hAnsi="宋体"/>
                <w:b/>
                <w:sz w:val="21"/>
                <w:szCs w:val="21"/>
              </w:rPr>
            </w:pPr>
            <w:r>
              <w:rPr>
                <w:rFonts w:hint="eastAsia" w:ascii="宋体" w:hAnsi="宋体"/>
                <w:b/>
                <w:sz w:val="21"/>
                <w:szCs w:val="21"/>
              </w:rPr>
              <w:t xml:space="preserve">                内部沟通的效果：有效</w:t>
            </w:r>
          </w:p>
          <w:p>
            <w:pPr>
              <w:spacing w:line="360" w:lineRule="auto"/>
              <w:rPr>
                <w:rFonts w:hint="eastAsia" w:ascii="宋体" w:hAnsi="宋体"/>
                <w:b/>
                <w:sz w:val="21"/>
                <w:szCs w:val="21"/>
              </w:rPr>
            </w:pPr>
            <w:r>
              <w:rPr>
                <w:rFonts w:hint="eastAsia" w:ascii="宋体" w:hAnsi="宋体"/>
                <w:b/>
                <w:sz w:val="21"/>
                <w:szCs w:val="21"/>
              </w:rPr>
              <w:t>组织对外联络，关注顾客的感受情况（QMS）：顾客满意度评价、合同等</w:t>
            </w:r>
          </w:p>
          <w:p>
            <w:pPr>
              <w:spacing w:line="360" w:lineRule="auto"/>
              <w:rPr>
                <w:rFonts w:hint="eastAsia" w:ascii="宋体" w:hAnsi="宋体"/>
                <w:b/>
                <w:sz w:val="21"/>
                <w:szCs w:val="21"/>
              </w:rPr>
            </w:pPr>
            <w:r>
              <w:rPr>
                <w:rFonts w:hint="eastAsia" w:ascii="宋体" w:hAnsi="宋体"/>
                <w:b/>
                <w:sz w:val="21"/>
                <w:szCs w:val="21"/>
              </w:rPr>
              <w:t>外部信息的接收、成文并答复的情况（E、S填写）：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360" w:lineRule="auto"/>
              <w:rPr>
                <w:rFonts w:hint="eastAsia" w:ascii="宋体" w:hAnsi="宋体"/>
                <w:b/>
                <w:sz w:val="21"/>
                <w:szCs w:val="21"/>
              </w:rPr>
            </w:pPr>
            <w:r>
              <w:rPr>
                <w:rFonts w:hint="eastAsia" w:ascii="宋体" w:hAnsi="宋体"/>
                <w:b/>
                <w:sz w:val="21"/>
                <w:szCs w:val="21"/>
              </w:rPr>
              <w:t>重要环境因素信息对外交流情况（EMS填写）：相关方告知书、张贴警示标记</w:t>
            </w:r>
          </w:p>
          <w:p>
            <w:pPr>
              <w:spacing w:line="360" w:lineRule="auto"/>
              <w:rPr>
                <w:rFonts w:hint="eastAsia" w:ascii="宋体" w:hAnsi="宋体"/>
                <w:b/>
                <w:sz w:val="21"/>
                <w:szCs w:val="21"/>
              </w:rPr>
            </w:pPr>
            <w:r>
              <w:rPr>
                <w:rFonts w:hint="eastAsia" w:ascii="宋体" w:hAnsi="宋体"/>
                <w:b/>
                <w:sz w:val="21"/>
                <w:szCs w:val="21"/>
              </w:rPr>
              <w:t>OHSMS事务代表协商和交流的情况（OHSMS填写）：确定职业健康安全事务代表是肖睿晟，参与公司的职业健康安全事务。相关人员能够适当参与并协商办理公司经营管理及安全事务等工作。</w:t>
            </w:r>
          </w:p>
          <w:p>
            <w:pPr>
              <w:spacing w:line="360" w:lineRule="auto"/>
              <w:rPr>
                <w:rFonts w:ascii="宋体" w:hAnsi="宋体"/>
                <w:b/>
                <w:sz w:val="21"/>
                <w:szCs w:val="21"/>
              </w:rPr>
            </w:pPr>
            <w:r>
              <w:rPr>
                <w:rFonts w:hint="eastAsia" w:ascii="宋体" w:hAnsi="宋体"/>
                <w:b/>
                <w:sz w:val="21"/>
                <w:szCs w:val="21"/>
              </w:rPr>
              <w:t>与相关方协商的情况（OHSMS填写）：与相关方就有关职业健康安全事务进行协商，保留相关方告知书。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策划了服务提供流程：</w:t>
            </w:r>
          </w:p>
          <w:p>
            <w:pPr>
              <w:adjustRightInd w:val="0"/>
              <w:snapToGrid w:val="0"/>
              <w:spacing w:line="360" w:lineRule="auto"/>
              <w:ind w:right="120" w:rightChars="50" w:firstLine="398" w:firstLineChars="200"/>
              <w:textAlignment w:val="baseline"/>
              <w:rPr>
                <w:rFonts w:hint="eastAsia" w:ascii="宋体" w:hAnsi="宋体" w:eastAsia="宋体" w:cs="Arial"/>
                <w:color w:val="auto"/>
                <w:spacing w:val="-6"/>
                <w:sz w:val="21"/>
                <w:szCs w:val="21"/>
                <w:lang w:val="en-US" w:eastAsia="zh-CN"/>
              </w:rPr>
            </w:pPr>
            <w:r>
              <w:rPr>
                <w:rFonts w:hint="eastAsia" w:ascii="宋体" w:hAnsi="宋体" w:cs="Arial"/>
                <w:b/>
                <w:bCs/>
                <w:color w:val="auto"/>
                <w:spacing w:val="-6"/>
                <w:sz w:val="21"/>
                <w:szCs w:val="21"/>
                <w:lang w:val="en-US" w:eastAsia="zh-CN"/>
              </w:rPr>
              <w:t>产品要求信息获取——产品要求评审——签订合同——采购——质检——销售</w:t>
            </w:r>
            <w:r>
              <w:rPr>
                <w:rFonts w:hint="eastAsia" w:ascii="宋体" w:hAnsi="宋体" w:eastAsia="宋体" w:cs="Arial"/>
                <w:color w:val="auto"/>
                <w:spacing w:val="-6"/>
                <w:sz w:val="21"/>
                <w:szCs w:val="21"/>
                <w:lang w:val="en-US" w:eastAsia="zh-CN"/>
              </w:rPr>
              <w:t>；</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通过采购物资检验、销售过程检验、客户检验等过程对销售质量等进行监控；</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通过客户确认对安装和售后服务进行控制；</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公司按照制定的程序、规程、管理制度等文件对采购过程、销售过程、检验与交付过程、绩效分析、评价与改进等过程实施了过程控制。效果明显，未发生质量纠纷。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《商品经营服务质量管理规范GB/T 16868-2009》</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智能齿条式路轨传动密集架——2020.8.3，浙江省轻工业品质量检验研究院出具，结论符合要求；</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验枪桶——2020.11.30，中国兵器装备特种产品质量监督检测中心出具，结论未反弹未击穿；</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智能枪弹库防盗安全门——2020.11.2，公安部安全与警用电子产品质量检测中心出具，符合要求；</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射击训练系统——2020.10.30，公安部安全与警用电子产品质量检测中心出具，符合要求；</w:t>
            </w:r>
          </w:p>
          <w:p>
            <w:pPr>
              <w:spacing w:line="360" w:lineRule="auto"/>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公司在《不合格品控制程序》中，对不合格品的处置方式、处置的职责和权限、不合格的评审方式、让步接受的办法及责任部门等均作了规定。</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介绍说，</w:t>
            </w:r>
            <w:r>
              <w:rPr>
                <w:rFonts w:hint="default" w:ascii="宋体" w:hAnsi="宋体" w:eastAsia="宋体" w:cs="Arial"/>
                <w:color w:val="auto"/>
                <w:spacing w:val="-6"/>
                <w:sz w:val="21"/>
                <w:szCs w:val="21"/>
                <w:lang w:val="en-US" w:eastAsia="zh-CN"/>
              </w:rPr>
              <w:t>采购产品不合格品一般退货或调换处理，目前未发生采购产品不合格情况；</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销售过程不合格品处置</w:t>
            </w:r>
            <w:r>
              <w:rPr>
                <w:rFonts w:hint="eastAsia" w:ascii="宋体" w:hAnsi="宋体" w:eastAsia="宋体" w:cs="Arial"/>
                <w:color w:val="auto"/>
                <w:spacing w:val="-6"/>
                <w:sz w:val="21"/>
                <w:szCs w:val="21"/>
                <w:lang w:val="en-US" w:eastAsia="zh-CN"/>
              </w:rPr>
              <w:t>通常</w:t>
            </w:r>
            <w:r>
              <w:rPr>
                <w:rFonts w:hint="default" w:ascii="宋体" w:hAnsi="宋体" w:eastAsia="宋体" w:cs="Arial"/>
                <w:color w:val="auto"/>
                <w:spacing w:val="-6"/>
                <w:sz w:val="21"/>
                <w:szCs w:val="21"/>
                <w:lang w:val="en-US" w:eastAsia="zh-CN"/>
              </w:rPr>
              <w:t>返工处理；目前交付后未发生不合格。</w:t>
            </w:r>
          </w:p>
          <w:p>
            <w:pPr>
              <w:adjustRightInd w:val="0"/>
              <w:snapToGrid w:val="0"/>
              <w:spacing w:line="360" w:lineRule="auto"/>
              <w:ind w:right="120" w:rightChars="50" w:firstLine="396" w:firstLineChars="200"/>
              <w:textAlignment w:val="baseline"/>
              <w:rPr>
                <w:rFonts w:ascii="宋体" w:hAnsi="宋体"/>
                <w:b/>
                <w:sz w:val="21"/>
                <w:szCs w:val="21"/>
              </w:rPr>
            </w:pPr>
            <w:r>
              <w:rPr>
                <w:rFonts w:hint="default" w:ascii="宋体" w:hAnsi="宋体" w:eastAsia="宋体" w:cs="Arial"/>
                <w:color w:val="auto"/>
                <w:spacing w:val="-6"/>
                <w:sz w:val="21"/>
                <w:szCs w:val="21"/>
                <w:lang w:val="en-US" w:eastAsia="zh-CN"/>
              </w:rPr>
              <w:t>企业不合格品控制基本有效。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节约用水用电、纸张双面使用、禁止吸烟、无乱拉乱接电线、无超额电器使用；</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生活废水经市政管网排放；无工业废水；</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办公环境安静，无明显噪声和废气；</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办公用固废集中回收，市政环卫部门收集处理；</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办公用墨盒硒鼓等危废以旧换新。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Cs w:val="21"/>
              </w:rPr>
            </w:pPr>
          </w:p>
        </w:tc>
        <w:tc>
          <w:tcPr>
            <w:tcW w:w="9198" w:type="dxa"/>
          </w:tcPr>
          <w:p>
            <w:pPr>
              <w:pStyle w:val="2"/>
              <w:spacing w:line="360" w:lineRule="auto"/>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不可接受风险：触电伤害、潜在火灾、交通意外伤害；</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查见配置有灭火器，状态良好；监控摄像头运行正常；</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禁止吸烟、无乱拉乱接电线、无超额电器使用；</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不定期对员工进行交通安全宣传；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编制了《应急准备和响应程序》，确定的紧急情况有：火灾、触电等。</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建立了火灾、触电、疫情防控等应急预案；</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对消防器材有进行检查；</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对预案演练进行了策划；</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组织开展了火灾救援预案的灭火演练、触电应急救援演练；</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对演练进行了总结评价，指出了问题和改进的要求。</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应急管理基本符合。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ind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360" w:lineRule="auto"/>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保留“目标考核表”，对各部门完成目标情况进行监测；</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对顾客满意度进行了调查，保留了相关记录；</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查见“环境安全运行检查记录”，每月一次，对固废集中收集、安全用电、消防安全、员工吸烟行为等情况进行检查，均正常。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公司编制《顾客满意度控制程序》，</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对顾客满意度进行了调查，保留了顾客满意度调查表；</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《顾客满意度调查分析》，2021.3.24，对顾客满意度指标完成情况、顾客建议改进方向等予以分析汇总，经评价测算客户满意度得分</w:t>
            </w:r>
            <w:r>
              <w:rPr>
                <w:rFonts w:hint="eastAsia" w:ascii="宋体" w:hAnsi="宋体" w:cs="Arial"/>
                <w:color w:val="auto"/>
                <w:spacing w:val="-6"/>
                <w:sz w:val="21"/>
                <w:szCs w:val="21"/>
                <w:lang w:val="en-US" w:eastAsia="zh-CN"/>
              </w:rPr>
              <w:t>98.7</w:t>
            </w:r>
            <w:r>
              <w:rPr>
                <w:rFonts w:hint="eastAsia" w:ascii="宋体" w:hAnsi="宋体" w:eastAsia="宋体" w:cs="Arial"/>
                <w:color w:val="auto"/>
                <w:spacing w:val="-6"/>
                <w:sz w:val="21"/>
                <w:szCs w:val="21"/>
                <w:lang w:val="en-US" w:eastAsia="zh-CN"/>
              </w:rPr>
              <w:t>分。</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企业对顾客满意度的调查、分析利用进行了策划并实施，基本符合标准条款的要求。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公司2021年4月10-11日开展了内审，内审覆盖全部门、全条款；</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保留了内审计划、内审报告、不符合项报告；</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lang w:val="en-US" w:eastAsia="zh-CN"/>
              </w:rPr>
            </w:pPr>
            <w:r>
              <w:rPr>
                <w:rFonts w:hint="default" w:ascii="宋体" w:hAnsi="宋体" w:eastAsia="宋体" w:cs="Arial"/>
                <w:color w:val="auto"/>
                <w:spacing w:val="-6"/>
                <w:sz w:val="21"/>
                <w:szCs w:val="21"/>
                <w:lang w:val="en-US" w:eastAsia="zh-CN"/>
              </w:rPr>
              <w:t>本次内审开具不符合报告</w:t>
            </w:r>
            <w:r>
              <w:rPr>
                <w:rFonts w:hint="eastAsia" w:ascii="宋体" w:hAnsi="宋体" w:eastAsia="宋体" w:cs="Arial"/>
                <w:color w:val="auto"/>
                <w:spacing w:val="-6"/>
                <w:sz w:val="21"/>
                <w:szCs w:val="21"/>
                <w:lang w:val="en-US" w:eastAsia="zh-CN"/>
              </w:rPr>
              <w:t>1</w:t>
            </w:r>
            <w:r>
              <w:rPr>
                <w:rFonts w:hint="default" w:ascii="宋体" w:hAnsi="宋体" w:eastAsia="宋体" w:cs="Arial"/>
                <w:color w:val="auto"/>
                <w:spacing w:val="-6"/>
                <w:sz w:val="21"/>
                <w:szCs w:val="21"/>
                <w:lang w:val="en-US" w:eastAsia="zh-CN"/>
              </w:rPr>
              <w:t>份，已整改，有整改验收记录；</w:t>
            </w:r>
          </w:p>
          <w:p>
            <w:pPr>
              <w:adjustRightInd w:val="0"/>
              <w:snapToGrid w:val="0"/>
              <w:spacing w:line="360" w:lineRule="auto"/>
              <w:ind w:right="120" w:rightChars="50" w:firstLine="396" w:firstLineChars="200"/>
              <w:textAlignment w:val="baseline"/>
              <w:rPr>
                <w:rFonts w:ascii="宋体" w:hAnsi="宋体"/>
                <w:b/>
                <w:sz w:val="21"/>
                <w:szCs w:val="21"/>
              </w:rPr>
            </w:pPr>
            <w:r>
              <w:rPr>
                <w:rFonts w:hint="default" w:ascii="宋体" w:hAnsi="宋体" w:eastAsia="宋体" w:cs="Arial"/>
                <w:color w:val="auto"/>
                <w:spacing w:val="-6"/>
                <w:sz w:val="21"/>
                <w:szCs w:val="21"/>
                <w:lang w:val="en-US" w:eastAsia="zh-CN"/>
              </w:rPr>
              <w:t>内审结论为：公司三体系运行基本良好，运行达到一定的效果，基本符合ISO9001:2015；ISO14001:2015；ISO45001:2018标准的要求，但仍存在不足，各部门应举一反三，对类似问题予以整改。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numPr>
                <w:ilvl w:val="0"/>
                <w:numId w:val="0"/>
              </w:num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2021年4月</w:t>
            </w:r>
            <w:r>
              <w:rPr>
                <w:rFonts w:hint="eastAsia" w:ascii="宋体" w:hAnsi="宋体" w:cs="Arial"/>
                <w:color w:val="auto"/>
                <w:spacing w:val="-6"/>
                <w:sz w:val="21"/>
                <w:szCs w:val="21"/>
                <w:highlight w:val="none"/>
                <w:lang w:val="en-US" w:eastAsia="zh-CN"/>
              </w:rPr>
              <w:t>2</w:t>
            </w:r>
            <w:r>
              <w:rPr>
                <w:rFonts w:hint="eastAsia" w:ascii="宋体" w:hAnsi="宋体" w:eastAsia="宋体" w:cs="Arial"/>
                <w:color w:val="auto"/>
                <w:spacing w:val="-6"/>
                <w:sz w:val="21"/>
                <w:szCs w:val="21"/>
                <w:highlight w:val="none"/>
                <w:lang w:val="en-US" w:eastAsia="zh-CN"/>
              </w:rPr>
              <w:t>0日在公司会议室由</w:t>
            </w:r>
            <w:r>
              <w:rPr>
                <w:rFonts w:hint="eastAsia" w:ascii="宋体" w:hAnsi="宋体" w:cs="Arial"/>
                <w:color w:val="auto"/>
                <w:spacing w:val="-6"/>
                <w:sz w:val="21"/>
                <w:szCs w:val="21"/>
                <w:highlight w:val="none"/>
                <w:lang w:val="en-US" w:eastAsia="zh-CN"/>
              </w:rPr>
              <w:t>聂林</w:t>
            </w:r>
            <w:r>
              <w:rPr>
                <w:rFonts w:hint="eastAsia" w:ascii="宋体" w:hAnsi="宋体" w:eastAsia="宋体" w:cs="Arial"/>
                <w:color w:val="auto"/>
                <w:spacing w:val="-6"/>
                <w:sz w:val="21"/>
                <w:szCs w:val="21"/>
                <w:highlight w:val="none"/>
                <w:lang w:val="en-US" w:eastAsia="zh-CN"/>
              </w:rPr>
              <w:t>总经理主持召开管理评审会议；</w:t>
            </w:r>
          </w:p>
          <w:p>
            <w:pPr>
              <w:numPr>
                <w:ilvl w:val="0"/>
                <w:numId w:val="0"/>
              </w:num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保留管理评审计划、管理评审报告、管理评审会议纪要、签到表等；</w:t>
            </w:r>
          </w:p>
          <w:p>
            <w:pPr>
              <w:numPr>
                <w:ilvl w:val="0"/>
                <w:numId w:val="0"/>
              </w:num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管理评审输入</w:t>
            </w:r>
            <w:r>
              <w:rPr>
                <w:rFonts w:hint="eastAsia" w:ascii="宋体" w:hAnsi="宋体" w:cs="Arial"/>
                <w:color w:val="auto"/>
                <w:spacing w:val="-6"/>
                <w:sz w:val="21"/>
                <w:szCs w:val="21"/>
                <w:highlight w:val="none"/>
                <w:lang w:val="en-US" w:eastAsia="zh-CN"/>
              </w:rPr>
              <w:t>基本满足要求，未对上次评审的改进措施进行跟踪，交流</w:t>
            </w:r>
            <w:r>
              <w:rPr>
                <w:rFonts w:hint="eastAsia" w:ascii="宋体" w:hAnsi="宋体" w:eastAsia="宋体" w:cs="Arial"/>
                <w:color w:val="auto"/>
                <w:spacing w:val="-6"/>
                <w:sz w:val="21"/>
                <w:szCs w:val="21"/>
                <w:highlight w:val="none"/>
                <w:lang w:val="en-US" w:eastAsia="zh-CN"/>
              </w:rPr>
              <w:t>；</w:t>
            </w:r>
          </w:p>
          <w:p>
            <w:pPr>
              <w:numPr>
                <w:ilvl w:val="0"/>
                <w:numId w:val="0"/>
              </w:num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管理评审结论：公司管理体系的建立和运行是充分的、适宜的、有效的。</w:t>
            </w:r>
          </w:p>
          <w:p>
            <w:pPr>
              <w:numPr>
                <w:ilvl w:val="0"/>
                <w:numId w:val="0"/>
              </w:num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highlight w:val="none"/>
                <w:lang w:val="en-US" w:eastAsia="zh-CN"/>
              </w:rPr>
              <w:t>改进措施要求：进一步组织对标准、《管理手册》、《程序文件》、相关的法律、法规、规程和规范的学习和培训。保留“管理评审改进措施计划”。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105" w:hangingChars="50"/>
              <w:rPr>
                <w:rFonts w:hint="eastAsia" w:ascii="宋体" w:hAnsi="宋体" w:eastAsia="宋体"/>
                <w:b/>
                <w:sz w:val="21"/>
                <w:szCs w:val="21"/>
                <w:lang w:val="en-US" w:eastAsia="zh-CN"/>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60" w:lineRule="auto"/>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 w:val="20"/>
              </w:rPr>
            </w:pPr>
          </w:p>
        </w:tc>
        <w:tc>
          <w:tcPr>
            <w:tcW w:w="9198" w:type="dxa"/>
          </w:tcPr>
          <w:p>
            <w:pPr>
              <w:widowControl/>
              <w:spacing w:line="360" w:lineRule="auto"/>
              <w:rPr>
                <w:rFonts w:hint="eastAsia"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360" w:lineRule="auto"/>
              <w:ind w:left="113" w:right="113"/>
              <w:jc w:val="center"/>
              <w:rPr>
                <w:rFonts w:ascii="宋体" w:hAnsi="宋体"/>
                <w:b/>
                <w:szCs w:val="21"/>
              </w:rPr>
            </w:pPr>
            <w:r>
              <w:rPr>
                <w:rFonts w:hint="eastAsia" w:ascii="宋体" w:hAnsi="宋体"/>
                <w:b/>
                <w:szCs w:val="21"/>
              </w:rPr>
              <w:t>(五)持</w:t>
            </w:r>
          </w:p>
          <w:p>
            <w:pPr>
              <w:spacing w:line="360" w:lineRule="auto"/>
              <w:ind w:left="113" w:right="113"/>
              <w:jc w:val="center"/>
              <w:rPr>
                <w:rFonts w:ascii="宋体" w:hAnsi="宋体"/>
                <w:b/>
                <w:szCs w:val="21"/>
              </w:rPr>
            </w:pPr>
            <w:r>
              <w:rPr>
                <w:rFonts w:hint="eastAsia" w:ascii="宋体" w:hAnsi="宋体"/>
                <w:b/>
                <w:szCs w:val="21"/>
              </w:rPr>
              <w:t>续</w:t>
            </w:r>
          </w:p>
          <w:p>
            <w:pPr>
              <w:spacing w:line="360" w:lineRule="auto"/>
              <w:ind w:left="113" w:right="113"/>
              <w:jc w:val="center"/>
              <w:rPr>
                <w:rFonts w:ascii="宋体" w:hAnsi="宋体"/>
                <w:b/>
                <w:szCs w:val="21"/>
              </w:rPr>
            </w:pPr>
            <w:r>
              <w:rPr>
                <w:rFonts w:hint="eastAsia" w:ascii="宋体" w:hAnsi="宋体"/>
                <w:b/>
                <w:szCs w:val="21"/>
              </w:rPr>
              <w:t>改</w:t>
            </w:r>
          </w:p>
          <w:p>
            <w:pPr>
              <w:spacing w:line="360" w:lineRule="auto"/>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ind w:firstLine="396" w:firstLineChars="200"/>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自上次审核以来以来，未受到上级主管部门有关质量、环保、职业健康安全的行政处罚。</w:t>
            </w:r>
          </w:p>
          <w:p>
            <w:pPr>
              <w:spacing w:line="360" w:lineRule="auto"/>
              <w:ind w:firstLine="396" w:firstLineChars="200"/>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未发生较大的相关方投诉。</w:t>
            </w:r>
          </w:p>
          <w:p>
            <w:pPr>
              <w:spacing w:line="360" w:lineRule="auto"/>
              <w:ind w:firstLine="396" w:firstLineChars="200"/>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暂时没有国家/地方抽查情况。</w:t>
            </w:r>
          </w:p>
          <w:p>
            <w:pPr>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highlight w:val="none"/>
                <w:lang w:val="en-US" w:eastAsia="zh-CN"/>
              </w:rPr>
              <w:t>目前没有相关行政主管部门的检查处罚，在审核现场也未发现抽查、相关方投诉等情况。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highlight w:val="none"/>
                <w:lang w:val="en-US" w:eastAsia="zh-CN"/>
              </w:rPr>
              <w:t>上次审核时的不符合项已整改，“销售合同的评审记录，公司未能提供”，现场验证，措施有效。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vAlign w:val="top"/>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vAlign w:val="top"/>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vAlign w:val="top"/>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vAlign w:val="top"/>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vAlign w:val="top"/>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vAlign w:val="top"/>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vAlign w:val="top"/>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vAlign w:val="top"/>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pStyle w:val="2"/>
        <w:rPr>
          <w:rFonts w:hint="eastAsia" w:ascii="宋体" w:hAnsi="宋体"/>
          <w:b/>
          <w:szCs w:val="21"/>
        </w:rPr>
      </w:pPr>
    </w:p>
    <w:p>
      <w:pPr>
        <w:pStyle w:val="2"/>
        <w:rPr>
          <w:rFonts w:hint="eastAsia" w:ascii="宋体" w:hAnsi="宋体"/>
          <w:b/>
          <w:szCs w:val="21"/>
        </w:rPr>
      </w:pPr>
    </w:p>
    <w:p>
      <w:pPr>
        <w:tabs>
          <w:tab w:val="left" w:pos="645"/>
        </w:tabs>
        <w:spacing w:after="163" w:afterLines="50" w:line="360" w:lineRule="exact"/>
        <w:rPr>
          <w:rFonts w:hint="eastAsia" w:ascii="Times New Roman" w:hAnsi="Times New Roman" w:eastAsia="宋体" w:cs="Times New Roman"/>
          <w:b/>
          <w:sz w:val="26"/>
          <w:szCs w:val="26"/>
        </w:rPr>
      </w:pPr>
      <w:r>
        <w:rPr>
          <w:rFonts w:hint="eastAsia" w:ascii="Times New Roman" w:hAnsi="Times New Roman" w:eastAsia="宋体" w:cs="Times New Roman"/>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mc:AlternateContent>
          <mc:Choice Requires="wps">
            <w:drawing>
              <wp:anchor distT="0" distB="0" distL="114300" distR="114300" simplePos="0" relativeHeight="251658240"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4"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D6w69T8AEAAOADAAAOAAAAZHJzL2Uyb0RvYy54bWytU72OEzEQ&#10;7pF4B8s92SRwJ1hlc8WFo0EQCXiAie3dteQ/eZxs8hK8ABIdVJT0vA3HYzD25nJwNCnYwjsej7+Z&#10;75vx4mpvDdupiNq7hs8mU86UE15q1zX8w/ubJ885wwROgvFONfygkF8tHz9aDKFWc997I1VkBOKw&#10;HkLD+5RCXVUoemUBJz4oR4etjxYSbWNXyQgDoVtTzafTy2rwUYbohUIk72o85EfEeA6gb1st1MqL&#10;rVUujahRGUhECXsdkC9LtW2rRHrbtqgSMw0npqmslITsTV6r5QLqLkLotTiWAOeU8ICTBe0o6Qlq&#10;BQnYNup/oKwW0aNv00R4W41EiiLEYjZ9oM27HoIqXEhqDCfR8f/Bije7dWRaNvwZZw4sNfz20/ef&#10;H7/8+vGZ1ttvX9ksizQErCn22q3jcYdhHTPjfRtt/hMXti/CHk7Cqn1igpyXTy84E3f+6v5SiJhe&#10;KW9ZNhputMt8oYbda0yUiELvQrLbODY0/MXFPMMBDV9LTSfTBiKArit30Rstb7Qx+QbGbnNtIttB&#10;HoDyZTqE+1dYTrIC7Me4cjSORq9AvnSSpUMgaRy9CJ5LsEpyZhQ9oGwRINQJtDknklIbRxVkRUcN&#10;s7Xx8kCN2Iaou56UKKKXGGp8qfc4pHmy/twXpPuH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ya4ZdQAAAAJAQAADwAAAAAAAAABACAAAAAiAAAAZHJzL2Rvd25yZXYueG1sUEsBAhQAFAAAAAgA&#10;h07iQPrDr1PwAQAA4AMAAA4AAAAAAAAAAQAgAAAAIwEAAGRycy9lMm9Eb2MueG1sUEsFBgAAAAAG&#10;AAYAWQEAAIUFAAAAAA==&#10;">
                <v:fill on="f" focussize="0,0"/>
                <v:stroke color="#000000" joinstyle="round"/>
                <v:imagedata o:title=""/>
                <o:lock v:ext="edit" aspectratio="f"/>
              </v:line>
            </w:pict>
          </mc:Fallback>
        </mc:AlternateConten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pStyle w:val="2"/>
        <w:rPr>
          <w:rFonts w:hint="eastAsia" w:ascii="宋体" w:hAnsi="宋体"/>
          <w:b/>
          <w:szCs w:val="21"/>
        </w:rPr>
      </w:pP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spacing w:line="360" w:lineRule="auto"/>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spacing w:line="360" w:lineRule="auto"/>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ind w:firstLine="241" w:firstLineChars="100"/>
              <w:rPr>
                <w:rFonts w:ascii="宋体" w:hAnsi="宋体"/>
                <w:b/>
                <w:szCs w:val="21"/>
              </w:rPr>
            </w:pPr>
          </w:p>
          <w:p>
            <w:pPr>
              <w:spacing w:line="360" w:lineRule="auto"/>
              <w:rPr>
                <w:rFonts w:ascii="宋体" w:hAnsi="宋体"/>
                <w:b/>
                <w:szCs w:val="21"/>
              </w:rPr>
            </w:pP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OHSMS持续的符合性及运行的有效性，以及与认证范围的持续相关性和适宜性及自我完善机制等。</w:t>
            </w:r>
          </w:p>
          <w:p>
            <w:pPr>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360" w:lineRule="auto"/>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360" w:lineRule="auto"/>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lang w:val="en-US" w:eastAsia="zh-CN"/>
              </w:rPr>
              <w:t xml:space="preserve">  </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360" w:lineRule="auto"/>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u w:val="single"/>
          <w:lang w:val="en-US" w:eastAsia="zh-CN"/>
        </w:rPr>
        <w:t>/</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1671320</wp:posOffset>
            </wp:positionH>
            <wp:positionV relativeFrom="paragraph">
              <wp:posOffset>286385</wp:posOffset>
            </wp:positionV>
            <wp:extent cx="760730" cy="458470"/>
            <wp:effectExtent l="0" t="0" r="1270" b="1778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60730" cy="45847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eastAsia="宋体"/>
          <w:b/>
          <w:sz w:val="21"/>
          <w:lang w:eastAsia="zh-CN"/>
        </w:rPr>
        <w:drawing>
          <wp:anchor distT="0" distB="0" distL="114300" distR="114300" simplePos="0" relativeHeight="251662336" behindDoc="0" locked="0" layoutInCell="1" allowOverlap="1">
            <wp:simplePos x="0" y="0"/>
            <wp:positionH relativeFrom="column">
              <wp:posOffset>2331720</wp:posOffset>
            </wp:positionH>
            <wp:positionV relativeFrom="paragraph">
              <wp:posOffset>193675</wp:posOffset>
            </wp:positionV>
            <wp:extent cx="596265" cy="366395"/>
            <wp:effectExtent l="0" t="0" r="13335" b="14605"/>
            <wp:wrapNone/>
            <wp:docPr id="8" name="图片 8"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签名-文波"/>
                    <pic:cNvPicPr>
                      <a:picLocks noChangeAspect="1"/>
                    </pic:cNvPicPr>
                  </pic:nvPicPr>
                  <pic:blipFill>
                    <a:blip r:embed="rId7"/>
                    <a:stretch>
                      <a:fillRect/>
                    </a:stretch>
                  </pic:blipFill>
                  <pic:spPr>
                    <a:xfrm>
                      <a:off x="0" y="0"/>
                      <a:ext cx="596265" cy="366395"/>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rFonts w:hint="eastAsia" w:eastAsia="宋体"/>
          <w:b/>
          <w:sz w:val="21"/>
          <w:lang w:eastAsia="zh-CN"/>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rPr>
      </w:pPr>
      <w:r>
        <w:rPr>
          <w:b/>
          <w:bCs/>
          <w:sz w:val="21"/>
          <w:szCs w:val="21"/>
        </w:rPr>
        <w:t>1.</w:t>
      </w:r>
      <w:r>
        <w:rPr>
          <w:rFonts w:hint="eastAsia"/>
          <w:b/>
          <w:bCs/>
          <w:sz w:val="21"/>
          <w:szCs w:val="21"/>
        </w:rPr>
        <w:t>审核中发现的</w:t>
      </w:r>
      <w:r>
        <w:rPr>
          <w:rFonts w:hint="eastAsia"/>
          <w:b/>
          <w:sz w:val="21"/>
          <w:szCs w:val="21"/>
        </w:rPr>
        <w:sym w:font="Wingdings 2" w:char="00A3"/>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738" w:firstLineChars="350"/>
        <w:rPr>
          <w:rFonts w:hint="eastAsia"/>
          <w:b/>
          <w:bCs/>
          <w:sz w:val="21"/>
          <w:szCs w:val="21"/>
        </w:rPr>
      </w:pPr>
      <w:r>
        <w:rPr>
          <w:rFonts w:hint="eastAsia"/>
          <w:b/>
          <w:bCs/>
          <w:sz w:val="21"/>
          <w:szCs w:val="21"/>
        </w:rPr>
        <w:t>审核中发现的□50430 (    )个一般不符合，(    )个严重不符合，□验证合格□仍有问题</w:t>
      </w:r>
    </w:p>
    <w:p>
      <w:pPr>
        <w:spacing w:line="360" w:lineRule="exact"/>
        <w:ind w:firstLine="738" w:firstLineChars="350"/>
        <w:rPr>
          <w:rFonts w:hint="eastAsia"/>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738" w:firstLineChars="35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p>
    <w:p>
      <w:pPr>
        <w:tabs>
          <w:tab w:val="left" w:pos="6880"/>
          <w:tab w:val="left" w:pos="7740"/>
          <w:tab w:val="left" w:pos="8385"/>
        </w:tabs>
        <w:snapToGrid w:val="0"/>
        <w:spacing w:before="163" w:beforeLines="50"/>
        <w:ind w:firstLine="689" w:firstLineChars="343"/>
        <w:rPr>
          <w:rFonts w:hint="eastAsia"/>
          <w:b/>
          <w:sz w:val="21"/>
          <w:szCs w:val="21"/>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1186815</wp:posOffset>
            </wp:positionH>
            <wp:positionV relativeFrom="paragraph">
              <wp:posOffset>33655</wp:posOffset>
            </wp:positionV>
            <wp:extent cx="760730" cy="458470"/>
            <wp:effectExtent l="0" t="0" r="1270" b="1778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60730" cy="458470"/>
                    </a:xfrm>
                    <a:prstGeom prst="rect">
                      <a:avLst/>
                    </a:prstGeom>
                    <a:noFill/>
                    <a:ln>
                      <a:noFill/>
                    </a:ln>
                  </pic:spPr>
                </pic:pic>
              </a:graphicData>
            </a:graphic>
          </wp:anchor>
        </w:drawing>
      </w: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7"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jchlTDAQAAdwMAAA4AAABkcnMvZTJvRG9jLnhtbK1TwY7T&#10;MBC9I/EPlu80adVdVlHTlZaqXBAgLXyA6ziJJdtjjd0m/QH4A05cuPNd/Q7GTrcLy2UPm4Njzzw/&#10;z3tjr25Ha9hBYdDgaj6flZwpJ6HRrqv51y/bNzechShcIww4VfOjCvx2/frVavCVWkAPplHIiMSF&#10;avA172P0VVEE2Ssrwgy8cpRsAa2ItMSuaFAMxG5NsSjL62IAbDyCVCFQdDMl+ZkRn0MIbaul2oDc&#10;W+XixIrKiEiSQq994OtcbdsqGT+1bVCRmZqT0phHOoTmuzQW65WoOhS+1/JcgnhOCU80WaEdHXqh&#10;2ogo2B71f1RWS4QAbZxJsMUkJDtCKublE2/ue+FV1kJWB38xPbwcrfx4+IxMNzV/y5kTlhp++vH9&#10;9PP36dc3Nk/2DD5UhLr3hIvjHYx0aR7igYJJ9diiTX/SwyhP5h4v5qoxMknBxfxmuSwpJSm3uLq+&#10;Wmb3i8fdHkN8r8CyNKk5UvOyp+LwIUSqhKAPkHRYAKObrTYmL7DbvTPIDoIavc1fKpK2/AMzLoEd&#10;pG1TOkWKpHHSkmZx3I1n4TtojqR771F3PdWUlWc49SPTn+9Oavjf60z6+F7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hBqrl1gAAAAoBAAAPAAAAAAAAAAEAIAAAACIAAABkcnMvZG93bnJldi54&#10;bWxQSwECFAAUAAAACACHTuJAKNyGVMMBAAB3AwAADgAAAAAAAAABACAAAAAlAQAAZHJzL2Uyb0Rv&#10;Yy54bWxQSwUGAAAAAAYABgBZAQAAWgUAAAAA&#10;">
              <v:fill on="t" focussize="0,0"/>
              <v:stroke on="f"/>
              <v:imagedata o:title=""/>
              <o:lock v:ext="edit" aspectratio="f"/>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mc:Fallback>
      </mc:AlternateConten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47369"/>
    <w:rsid w:val="21FA6B4E"/>
    <w:rsid w:val="2FD52561"/>
    <w:rsid w:val="3CD27893"/>
    <w:rsid w:val="590039E0"/>
    <w:rsid w:val="663B0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0"/>
    <w:semiHidden/>
    <w:qFormat/>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lenovo1018</cp:lastModifiedBy>
  <cp:lastPrinted>2019-04-18T08:15:00Z</cp:lastPrinted>
  <dcterms:modified xsi:type="dcterms:W3CDTF">2021-06-21T07:39:10Z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