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受审核方：河北鼎冠教学器材制造有限公司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69"/>
        <w:gridCol w:w="1590"/>
        <w:gridCol w:w="2540"/>
        <w:gridCol w:w="329"/>
        <w:gridCol w:w="850"/>
        <w:gridCol w:w="181"/>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69" w:type="dxa"/>
            <w:vAlign w:val="center"/>
          </w:tcPr>
          <w:p>
            <w:pPr>
              <w:jc w:val="center"/>
              <w:rPr>
                <w:b/>
                <w:sz w:val="21"/>
                <w:szCs w:val="21"/>
              </w:rPr>
            </w:pPr>
            <w:r>
              <w:rPr>
                <w:rFonts w:hint="eastAsia"/>
                <w:b/>
                <w:sz w:val="21"/>
                <w:szCs w:val="21"/>
              </w:rPr>
              <w:t>职务</w:t>
            </w:r>
          </w:p>
        </w:tc>
        <w:tc>
          <w:tcPr>
            <w:tcW w:w="1590" w:type="dxa"/>
            <w:vAlign w:val="center"/>
          </w:tcPr>
          <w:p>
            <w:pPr>
              <w:jc w:val="center"/>
              <w:rPr>
                <w:b/>
                <w:sz w:val="21"/>
                <w:szCs w:val="21"/>
              </w:rPr>
            </w:pPr>
            <w:r>
              <w:rPr>
                <w:rFonts w:hint="eastAsia"/>
                <w:b/>
                <w:sz w:val="21"/>
                <w:szCs w:val="21"/>
              </w:rPr>
              <w:t>注册级别</w:t>
            </w:r>
          </w:p>
        </w:tc>
        <w:tc>
          <w:tcPr>
            <w:tcW w:w="2540" w:type="dxa"/>
            <w:vAlign w:val="center"/>
          </w:tcPr>
          <w:p>
            <w:pPr>
              <w:jc w:val="center"/>
              <w:rPr>
                <w:b/>
                <w:sz w:val="21"/>
                <w:szCs w:val="21"/>
              </w:rPr>
            </w:pPr>
            <w:r>
              <w:rPr>
                <w:rFonts w:hint="eastAsia"/>
                <w:b/>
                <w:sz w:val="21"/>
                <w:szCs w:val="21"/>
              </w:rPr>
              <w:t>审核员注册号</w:t>
            </w:r>
          </w:p>
        </w:tc>
        <w:tc>
          <w:tcPr>
            <w:tcW w:w="1360" w:type="dxa"/>
            <w:gridSpan w:val="3"/>
            <w:vAlign w:val="center"/>
          </w:tcPr>
          <w:p>
            <w:pPr>
              <w:jc w:val="center"/>
              <w:rPr>
                <w:b/>
                <w:sz w:val="21"/>
                <w:szCs w:val="21"/>
              </w:rPr>
            </w:pPr>
            <w:r>
              <w:rPr>
                <w:rFonts w:hint="eastAsia"/>
                <w:b/>
                <w:sz w:val="21"/>
                <w:szCs w:val="21"/>
              </w:rPr>
              <w:t>专业代码</w:t>
            </w:r>
          </w:p>
        </w:tc>
        <w:tc>
          <w:tcPr>
            <w:tcW w:w="143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069" w:type="dxa"/>
            <w:vAlign w:val="center"/>
          </w:tcPr>
          <w:p>
            <w:pPr>
              <w:jc w:val="center"/>
              <w:rPr>
                <w:b/>
                <w:sz w:val="21"/>
                <w:szCs w:val="21"/>
              </w:rPr>
            </w:pPr>
            <w:r>
              <w:rPr>
                <w:b/>
                <w:sz w:val="21"/>
                <w:szCs w:val="21"/>
              </w:rPr>
              <w:t>组长</w:t>
            </w:r>
          </w:p>
        </w:tc>
        <w:tc>
          <w:tcPr>
            <w:tcW w:w="1590"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p>
            <w:pPr>
              <w:jc w:val="center"/>
              <w:rPr>
                <w:b/>
                <w:sz w:val="21"/>
                <w:szCs w:val="21"/>
              </w:rPr>
            </w:pPr>
            <w:r>
              <w:rPr>
                <w:b/>
                <w:sz w:val="21"/>
                <w:szCs w:val="21"/>
              </w:rPr>
              <w:t>O:审核员</w:t>
            </w:r>
          </w:p>
        </w:tc>
        <w:tc>
          <w:tcPr>
            <w:tcW w:w="2540" w:type="dxa"/>
            <w:vAlign w:val="center"/>
          </w:tcPr>
          <w:p>
            <w:pPr>
              <w:jc w:val="center"/>
              <w:rPr>
                <w:b/>
                <w:sz w:val="21"/>
                <w:szCs w:val="21"/>
              </w:rPr>
            </w:pPr>
            <w:r>
              <w:rPr>
                <w:b/>
                <w:sz w:val="21"/>
                <w:szCs w:val="21"/>
              </w:rPr>
              <w:t>2018-N1EMS-1222792</w:t>
            </w:r>
          </w:p>
          <w:p>
            <w:pPr>
              <w:jc w:val="center"/>
              <w:rPr>
                <w:b/>
                <w:sz w:val="21"/>
                <w:szCs w:val="21"/>
              </w:rPr>
            </w:pPr>
            <w:r>
              <w:rPr>
                <w:b/>
                <w:sz w:val="21"/>
                <w:szCs w:val="21"/>
              </w:rPr>
              <w:t>2018-N1QMS-1222792</w:t>
            </w:r>
          </w:p>
          <w:p>
            <w:pPr>
              <w:jc w:val="center"/>
              <w:rPr>
                <w:b/>
                <w:sz w:val="21"/>
                <w:szCs w:val="21"/>
              </w:rPr>
            </w:pPr>
            <w:r>
              <w:rPr>
                <w:b/>
                <w:sz w:val="21"/>
                <w:szCs w:val="21"/>
              </w:rPr>
              <w:t>2018-N1OHSMS-1222792</w:t>
            </w:r>
          </w:p>
        </w:tc>
        <w:tc>
          <w:tcPr>
            <w:tcW w:w="1360" w:type="dxa"/>
            <w:gridSpan w:val="3"/>
            <w:vAlign w:val="center"/>
          </w:tcPr>
          <w:p>
            <w:pPr>
              <w:jc w:val="center"/>
              <w:rPr>
                <w:b/>
                <w:sz w:val="21"/>
                <w:szCs w:val="21"/>
              </w:rPr>
            </w:pPr>
            <w:r>
              <w:rPr>
                <w:b/>
                <w:sz w:val="21"/>
                <w:szCs w:val="21"/>
              </w:rPr>
              <w:t>E:29.12.00</w:t>
            </w:r>
          </w:p>
          <w:p>
            <w:pPr>
              <w:jc w:val="center"/>
              <w:rPr>
                <w:b/>
                <w:sz w:val="21"/>
                <w:szCs w:val="21"/>
              </w:rPr>
            </w:pPr>
            <w:r>
              <w:rPr>
                <w:b/>
                <w:sz w:val="21"/>
                <w:szCs w:val="21"/>
              </w:rPr>
              <w:t>Q:29.12.00</w:t>
            </w:r>
          </w:p>
          <w:p>
            <w:pPr>
              <w:jc w:val="center"/>
              <w:rPr>
                <w:b/>
                <w:sz w:val="21"/>
                <w:szCs w:val="21"/>
              </w:rPr>
            </w:pPr>
            <w:r>
              <w:rPr>
                <w:b/>
                <w:sz w:val="21"/>
                <w:szCs w:val="21"/>
              </w:rPr>
              <w:t>O:29.12.00</w:t>
            </w:r>
          </w:p>
        </w:tc>
        <w:tc>
          <w:tcPr>
            <w:tcW w:w="1433" w:type="dxa"/>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周涛</w:t>
            </w:r>
          </w:p>
        </w:tc>
        <w:tc>
          <w:tcPr>
            <w:tcW w:w="824" w:type="dxa"/>
            <w:gridSpan w:val="2"/>
            <w:vAlign w:val="center"/>
          </w:tcPr>
          <w:p>
            <w:pPr>
              <w:jc w:val="center"/>
              <w:rPr>
                <w:b/>
                <w:sz w:val="21"/>
                <w:szCs w:val="21"/>
              </w:rPr>
            </w:pPr>
            <w:r>
              <w:rPr>
                <w:b/>
                <w:sz w:val="21"/>
                <w:szCs w:val="21"/>
              </w:rPr>
              <w:t>男</w:t>
            </w:r>
          </w:p>
        </w:tc>
        <w:tc>
          <w:tcPr>
            <w:tcW w:w="1069" w:type="dxa"/>
            <w:vAlign w:val="center"/>
          </w:tcPr>
          <w:p>
            <w:pPr>
              <w:jc w:val="center"/>
              <w:rPr>
                <w:b/>
                <w:sz w:val="21"/>
                <w:szCs w:val="21"/>
              </w:rPr>
            </w:pPr>
            <w:r>
              <w:rPr>
                <w:b/>
                <w:sz w:val="21"/>
                <w:szCs w:val="21"/>
              </w:rPr>
              <w:t>组员</w:t>
            </w:r>
          </w:p>
        </w:tc>
        <w:tc>
          <w:tcPr>
            <w:tcW w:w="1590"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p>
            <w:pPr>
              <w:jc w:val="center"/>
              <w:rPr>
                <w:b/>
                <w:sz w:val="21"/>
                <w:szCs w:val="21"/>
              </w:rPr>
            </w:pPr>
            <w:r>
              <w:rPr>
                <w:b/>
                <w:sz w:val="21"/>
                <w:szCs w:val="21"/>
              </w:rPr>
              <w:t>O:审核员</w:t>
            </w:r>
          </w:p>
        </w:tc>
        <w:tc>
          <w:tcPr>
            <w:tcW w:w="2540" w:type="dxa"/>
            <w:vAlign w:val="center"/>
          </w:tcPr>
          <w:p>
            <w:pPr>
              <w:jc w:val="center"/>
              <w:rPr>
                <w:b/>
                <w:sz w:val="21"/>
                <w:szCs w:val="21"/>
              </w:rPr>
            </w:pPr>
            <w:r>
              <w:rPr>
                <w:b/>
                <w:sz w:val="21"/>
                <w:szCs w:val="21"/>
              </w:rPr>
              <w:t>2021-N1EMS-3072033</w:t>
            </w:r>
          </w:p>
          <w:p>
            <w:pPr>
              <w:jc w:val="center"/>
              <w:rPr>
                <w:b/>
                <w:sz w:val="21"/>
                <w:szCs w:val="21"/>
              </w:rPr>
            </w:pPr>
            <w:r>
              <w:rPr>
                <w:b/>
                <w:sz w:val="21"/>
                <w:szCs w:val="21"/>
              </w:rPr>
              <w:t>2019-N1QMS-3072033</w:t>
            </w:r>
          </w:p>
          <w:p>
            <w:pPr>
              <w:jc w:val="center"/>
              <w:rPr>
                <w:b/>
                <w:sz w:val="21"/>
                <w:szCs w:val="21"/>
              </w:rPr>
            </w:pPr>
            <w:r>
              <w:rPr>
                <w:b/>
                <w:sz w:val="21"/>
                <w:szCs w:val="21"/>
              </w:rPr>
              <w:t>2021-N1OHSMS-3072033</w:t>
            </w:r>
          </w:p>
        </w:tc>
        <w:tc>
          <w:tcPr>
            <w:tcW w:w="1360" w:type="dxa"/>
            <w:gridSpan w:val="3"/>
            <w:vAlign w:val="center"/>
          </w:tcPr>
          <w:p>
            <w:pPr>
              <w:jc w:val="center"/>
              <w:rPr>
                <w:b/>
                <w:sz w:val="21"/>
                <w:szCs w:val="21"/>
              </w:rPr>
            </w:pPr>
            <w:r>
              <w:rPr>
                <w:b/>
                <w:sz w:val="21"/>
                <w:szCs w:val="21"/>
              </w:rPr>
              <w:t>E:29.12.00</w:t>
            </w:r>
          </w:p>
          <w:p>
            <w:pPr>
              <w:jc w:val="center"/>
              <w:rPr>
                <w:b/>
                <w:sz w:val="21"/>
                <w:szCs w:val="21"/>
              </w:rPr>
            </w:pPr>
            <w:r>
              <w:rPr>
                <w:b/>
                <w:sz w:val="21"/>
                <w:szCs w:val="21"/>
              </w:rPr>
              <w:t>Q:29.12.00</w:t>
            </w:r>
          </w:p>
          <w:p>
            <w:pPr>
              <w:jc w:val="center"/>
              <w:rPr>
                <w:b/>
                <w:sz w:val="21"/>
                <w:szCs w:val="21"/>
              </w:rPr>
            </w:pPr>
            <w:r>
              <w:rPr>
                <w:b/>
                <w:sz w:val="21"/>
                <w:szCs w:val="21"/>
              </w:rPr>
              <w:t>O:29.12.00</w:t>
            </w:r>
          </w:p>
        </w:tc>
        <w:tc>
          <w:tcPr>
            <w:tcW w:w="1433" w:type="dxa"/>
            <w:vAlign w:val="center"/>
          </w:tcPr>
          <w:p>
            <w:pPr>
              <w:jc w:val="center"/>
              <w:rPr>
                <w:b/>
                <w:sz w:val="21"/>
                <w:szCs w:val="21"/>
              </w:rPr>
            </w:pPr>
            <w:r>
              <w:rPr>
                <w:b/>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069" w:type="dxa"/>
          </w:tcPr>
          <w:p>
            <w:pPr>
              <w:rPr>
                <w:b/>
                <w:sz w:val="21"/>
                <w:szCs w:val="21"/>
              </w:rPr>
            </w:pPr>
          </w:p>
        </w:tc>
        <w:tc>
          <w:tcPr>
            <w:tcW w:w="1590" w:type="dxa"/>
          </w:tcPr>
          <w:p>
            <w:pPr>
              <w:rPr>
                <w:b/>
                <w:sz w:val="21"/>
                <w:szCs w:val="21"/>
              </w:rPr>
            </w:pPr>
          </w:p>
        </w:tc>
        <w:tc>
          <w:tcPr>
            <w:tcW w:w="2540" w:type="dxa"/>
          </w:tcPr>
          <w:p>
            <w:pPr>
              <w:rPr>
                <w:b/>
                <w:sz w:val="21"/>
                <w:szCs w:val="21"/>
              </w:rPr>
            </w:pPr>
          </w:p>
        </w:tc>
        <w:tc>
          <w:tcPr>
            <w:tcW w:w="1360" w:type="dxa"/>
            <w:gridSpan w:val="3"/>
          </w:tcPr>
          <w:p>
            <w:pPr>
              <w:rPr>
                <w:b/>
                <w:sz w:val="21"/>
                <w:szCs w:val="21"/>
              </w:rPr>
            </w:pPr>
          </w:p>
        </w:tc>
        <w:tc>
          <w:tcPr>
            <w:tcW w:w="143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69" w:type="dxa"/>
            <w:vAlign w:val="center"/>
          </w:tcPr>
          <w:p>
            <w:pPr>
              <w:jc w:val="center"/>
              <w:rPr>
                <w:b/>
                <w:sz w:val="21"/>
                <w:szCs w:val="21"/>
              </w:rPr>
            </w:pPr>
            <w:r>
              <w:rPr>
                <w:rFonts w:hint="eastAsia"/>
                <w:b/>
                <w:sz w:val="21"/>
                <w:szCs w:val="21"/>
              </w:rPr>
              <w:t>角色</w:t>
            </w:r>
          </w:p>
        </w:tc>
        <w:tc>
          <w:tcPr>
            <w:tcW w:w="692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69" w:type="dxa"/>
            <w:vAlign w:val="center"/>
          </w:tcPr>
          <w:p>
            <w:pPr>
              <w:jc w:val="center"/>
              <w:rPr>
                <w:b/>
                <w:sz w:val="21"/>
                <w:szCs w:val="21"/>
              </w:rPr>
            </w:pPr>
          </w:p>
        </w:tc>
        <w:tc>
          <w:tcPr>
            <w:tcW w:w="692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69" w:type="dxa"/>
            <w:vAlign w:val="center"/>
          </w:tcPr>
          <w:p>
            <w:pPr>
              <w:jc w:val="center"/>
              <w:rPr>
                <w:b/>
              </w:rPr>
            </w:pPr>
          </w:p>
        </w:tc>
        <w:tc>
          <w:tcPr>
            <w:tcW w:w="692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69" w:type="dxa"/>
            <w:vAlign w:val="center"/>
          </w:tcPr>
          <w:p>
            <w:pPr>
              <w:jc w:val="center"/>
              <w:rPr>
                <w:b/>
              </w:rPr>
            </w:pPr>
          </w:p>
        </w:tc>
        <w:tc>
          <w:tcPr>
            <w:tcW w:w="692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lang w:eastAsia="zh-CN"/>
        </w:rPr>
        <w:t>□</w:t>
      </w:r>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lang w:eastAsia="zh-CN"/>
        </w:rPr>
        <w:t>□</w:t>
      </w: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w:t>
      </w:r>
      <w:r>
        <w:rPr>
          <w:rFonts w:hint="eastAsia"/>
          <w:b/>
          <w:sz w:val="20"/>
          <w:lang w:val="en-US" w:eastAsia="zh-CN"/>
        </w:rPr>
        <w:t xml:space="preserve">45001-2020 </w:t>
      </w:r>
      <w:r>
        <w:rPr>
          <w:rFonts w:hint="eastAsia"/>
          <w:b/>
          <w:sz w:val="21"/>
          <w:szCs w:val="21"/>
        </w:rPr>
        <w:t xml:space="preserve">idt </w:t>
      </w:r>
      <w:r>
        <w:rPr>
          <w:rFonts w:hint="eastAsia"/>
          <w:b/>
          <w:sz w:val="21"/>
          <w:szCs w:val="21"/>
          <w:lang w:val="en-US" w:eastAsia="zh-CN"/>
        </w:rPr>
        <w:t xml:space="preserve"> </w:t>
      </w:r>
      <w:r>
        <w:rPr>
          <w:rFonts w:hint="eastAsia"/>
          <w:b/>
          <w:sz w:val="21"/>
          <w:szCs w:val="21"/>
        </w:rPr>
        <w:t>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469"/>
        <w:gridCol w:w="1340"/>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267" w:type="dxa"/>
            <w:gridSpan w:val="3"/>
            <w:vAlign w:val="center"/>
          </w:tcPr>
          <w:p>
            <w:pPr>
              <w:spacing w:line="260" w:lineRule="exact"/>
              <w:ind w:firstLine="632" w:firstLineChars="300"/>
              <w:jc w:val="both"/>
              <w:rPr>
                <w:rFonts w:hint="eastAsia" w:ascii="宋体" w:hAnsi="宋体" w:eastAsia="宋体" w:cs="Times New Roman"/>
                <w:b/>
                <w:sz w:val="21"/>
              </w:rPr>
            </w:pPr>
            <w:bookmarkStart w:id="9" w:name="组织名称Add"/>
            <w:r>
              <w:rPr>
                <w:rFonts w:hint="eastAsia" w:ascii="宋体" w:hAnsi="宋体" w:eastAsia="宋体" w:cs="Times New Roman"/>
                <w:b/>
                <w:sz w:val="21"/>
              </w:rPr>
              <w:t>河北鼎冠教学器材制造有限公司</w:t>
            </w:r>
            <w:bookmarkEnd w:id="9"/>
          </w:p>
        </w:tc>
        <w:tc>
          <w:tcPr>
            <w:tcW w:w="134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981" w:type="dxa"/>
            <w:vAlign w:val="center"/>
          </w:tcPr>
          <w:p>
            <w:pPr>
              <w:spacing w:line="260" w:lineRule="exact"/>
              <w:jc w:val="center"/>
              <w:rPr>
                <w:rFonts w:ascii="宋体"/>
                <w:b/>
                <w:sz w:val="21"/>
              </w:rPr>
            </w:pPr>
            <w:r>
              <w:rPr>
                <w:rFonts w:hint="eastAsia" w:ascii="宋体" w:cs="Times New Roman"/>
                <w:b/>
                <w:sz w:val="21"/>
                <w:szCs w:val="2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267" w:type="dxa"/>
            <w:gridSpan w:val="3"/>
            <w:vAlign w:val="center"/>
          </w:tcPr>
          <w:p>
            <w:pPr>
              <w:spacing w:line="260" w:lineRule="exact"/>
              <w:jc w:val="center"/>
              <w:rPr>
                <w:rFonts w:hint="eastAsia" w:ascii="宋体" w:hAnsi="宋体" w:eastAsia="宋体" w:cs="Times New Roman"/>
                <w:b/>
                <w:sz w:val="21"/>
              </w:rPr>
            </w:pPr>
            <w:bookmarkStart w:id="10" w:name="注册地址"/>
            <w:r>
              <w:rPr>
                <w:rFonts w:hint="eastAsia" w:ascii="宋体" w:hAnsi="宋体" w:eastAsia="宋体" w:cs="Times New Roman"/>
                <w:b/>
                <w:sz w:val="21"/>
              </w:rPr>
              <w:t>河北省保定市唐县王京镇西安乐村</w:t>
            </w:r>
            <w:bookmarkEnd w:id="10"/>
          </w:p>
        </w:tc>
        <w:tc>
          <w:tcPr>
            <w:tcW w:w="1340" w:type="dxa"/>
            <w:vMerge w:val="restart"/>
            <w:vAlign w:val="center"/>
          </w:tcPr>
          <w:p>
            <w:pPr>
              <w:jc w:val="center"/>
              <w:rPr>
                <w:rFonts w:ascii="宋体"/>
                <w:b/>
                <w:sz w:val="21"/>
              </w:rPr>
            </w:pPr>
            <w:r>
              <w:rPr>
                <w:rFonts w:hint="eastAsia" w:ascii="宋体" w:hAnsi="宋体"/>
                <w:b/>
                <w:sz w:val="21"/>
              </w:rPr>
              <w:t>邮编</w:t>
            </w:r>
          </w:p>
        </w:tc>
        <w:tc>
          <w:tcPr>
            <w:tcW w:w="1981" w:type="dxa"/>
            <w:vAlign w:val="center"/>
          </w:tcPr>
          <w:p>
            <w:pPr>
              <w:jc w:val="center"/>
              <w:rPr>
                <w:rFonts w:ascii="宋体"/>
                <w:b/>
                <w:sz w:val="21"/>
              </w:rPr>
            </w:pPr>
            <w:bookmarkStart w:id="11" w:name="注册邮编"/>
            <w:r>
              <w:rPr>
                <w:rFonts w:ascii="宋体"/>
                <w:b/>
                <w:sz w:val="21"/>
              </w:rPr>
              <w:t>072350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267" w:type="dxa"/>
            <w:gridSpan w:val="3"/>
            <w:vAlign w:val="center"/>
          </w:tcPr>
          <w:p>
            <w:pPr>
              <w:jc w:val="center"/>
              <w:rPr>
                <w:rFonts w:ascii="宋体"/>
                <w:b/>
                <w:sz w:val="21"/>
              </w:rPr>
            </w:pPr>
            <w:bookmarkStart w:id="12" w:name="办公地址"/>
            <w:r>
              <w:rPr>
                <w:rFonts w:ascii="宋体"/>
                <w:b/>
                <w:sz w:val="21"/>
              </w:rPr>
              <w:t>河北省保定市唐县王京镇西安乐村</w:t>
            </w:r>
            <w:bookmarkEnd w:id="12"/>
          </w:p>
        </w:tc>
        <w:tc>
          <w:tcPr>
            <w:tcW w:w="1340" w:type="dxa"/>
            <w:vMerge w:val="continue"/>
            <w:vAlign w:val="center"/>
          </w:tcPr>
          <w:p>
            <w:pPr>
              <w:jc w:val="center"/>
              <w:rPr>
                <w:rFonts w:ascii="宋体"/>
                <w:b/>
                <w:sz w:val="21"/>
              </w:rPr>
            </w:pPr>
          </w:p>
        </w:tc>
        <w:tc>
          <w:tcPr>
            <w:tcW w:w="1981" w:type="dxa"/>
            <w:vAlign w:val="center"/>
          </w:tcPr>
          <w:p>
            <w:pPr>
              <w:jc w:val="center"/>
              <w:rPr>
                <w:rFonts w:ascii="宋体"/>
                <w:b/>
                <w:sz w:val="21"/>
              </w:rPr>
            </w:pPr>
            <w:bookmarkStart w:id="13" w:name="办公邮编"/>
            <w:r>
              <w:rPr>
                <w:rFonts w:ascii="宋体"/>
                <w:b/>
                <w:sz w:val="21"/>
              </w:rPr>
              <w:t>072350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67" w:type="dxa"/>
            <w:gridSpan w:val="3"/>
            <w:vAlign w:val="center"/>
          </w:tcPr>
          <w:p>
            <w:pPr>
              <w:jc w:val="center"/>
              <w:rPr>
                <w:rFonts w:ascii="宋体"/>
                <w:b/>
                <w:sz w:val="21"/>
              </w:rPr>
            </w:pPr>
            <w:bookmarkStart w:id="14" w:name="生产地址Add"/>
            <w:r>
              <w:rPr>
                <w:rFonts w:ascii="宋体"/>
                <w:b/>
                <w:sz w:val="21"/>
              </w:rPr>
              <w:t>河北省保定市唐县王京镇西安乐村</w:t>
            </w:r>
            <w:bookmarkEnd w:id="14"/>
          </w:p>
        </w:tc>
        <w:tc>
          <w:tcPr>
            <w:tcW w:w="1340" w:type="dxa"/>
            <w:vMerge w:val="continue"/>
            <w:vAlign w:val="center"/>
          </w:tcPr>
          <w:p>
            <w:pPr>
              <w:jc w:val="center"/>
              <w:rPr>
                <w:rFonts w:ascii="宋体"/>
                <w:b/>
                <w:sz w:val="21"/>
              </w:rPr>
            </w:pPr>
          </w:p>
        </w:tc>
        <w:tc>
          <w:tcPr>
            <w:tcW w:w="1981" w:type="dxa"/>
            <w:vAlign w:val="center"/>
          </w:tcPr>
          <w:p>
            <w:pPr>
              <w:jc w:val="center"/>
              <w:rPr>
                <w:rFonts w:ascii="宋体"/>
                <w:b/>
                <w:sz w:val="21"/>
              </w:rPr>
            </w:pPr>
            <w:bookmarkStart w:id="15" w:name="生产邮编"/>
            <w:r>
              <w:rPr>
                <w:rFonts w:ascii="宋体"/>
                <w:b/>
                <w:sz w:val="21"/>
              </w:rPr>
              <w:t>072350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ind w:firstLine="422" w:firstLineChars="200"/>
              <w:rPr>
                <w:rFonts w:ascii="宋体"/>
                <w:b/>
                <w:sz w:val="21"/>
              </w:rPr>
            </w:pPr>
            <w:bookmarkStart w:id="16" w:name="联系人"/>
            <w:r>
              <w:rPr>
                <w:rFonts w:ascii="宋体"/>
                <w:b/>
                <w:sz w:val="21"/>
              </w:rPr>
              <w:t>南伍水</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469" w:type="dxa"/>
            <w:vAlign w:val="center"/>
          </w:tcPr>
          <w:p>
            <w:pPr>
              <w:jc w:val="center"/>
              <w:rPr>
                <w:rFonts w:ascii="宋体"/>
                <w:b/>
                <w:sz w:val="21"/>
              </w:rPr>
            </w:pPr>
            <w:bookmarkStart w:id="17" w:name="联系人电话Add"/>
            <w:r>
              <w:rPr>
                <w:rFonts w:ascii="宋体"/>
                <w:b/>
                <w:sz w:val="21"/>
              </w:rPr>
              <w:t>13703361582</w:t>
            </w:r>
            <w:bookmarkEnd w:id="17"/>
          </w:p>
        </w:tc>
        <w:tc>
          <w:tcPr>
            <w:tcW w:w="1340" w:type="dxa"/>
            <w:vAlign w:val="center"/>
          </w:tcPr>
          <w:p>
            <w:pPr>
              <w:jc w:val="center"/>
              <w:rPr>
                <w:rFonts w:ascii="宋体"/>
                <w:b/>
                <w:sz w:val="21"/>
              </w:rPr>
            </w:pPr>
            <w:r>
              <w:rPr>
                <w:rFonts w:hint="eastAsia" w:ascii="宋体" w:hAnsi="宋体"/>
                <w:b/>
                <w:sz w:val="21"/>
              </w:rPr>
              <w:t>传真</w:t>
            </w:r>
          </w:p>
        </w:tc>
        <w:tc>
          <w:tcPr>
            <w:tcW w:w="1981"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19" w:name="法人"/>
            <w:r>
              <w:rPr>
                <w:rFonts w:ascii="宋体" w:hAnsi="宋体"/>
                <w:b/>
                <w:sz w:val="21"/>
                <w:szCs w:val="21"/>
              </w:rPr>
              <w:t>南伍水</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469" w:type="dxa"/>
            <w:vAlign w:val="center"/>
          </w:tcPr>
          <w:p>
            <w:pPr>
              <w:jc w:val="center"/>
              <w:rPr>
                <w:rFonts w:ascii="宋体" w:hAnsi="宋体"/>
                <w:b/>
                <w:sz w:val="21"/>
                <w:szCs w:val="21"/>
              </w:rPr>
            </w:pPr>
          </w:p>
        </w:tc>
        <w:tc>
          <w:tcPr>
            <w:tcW w:w="1340" w:type="dxa"/>
            <w:vAlign w:val="center"/>
          </w:tcPr>
          <w:p>
            <w:pPr>
              <w:jc w:val="center"/>
              <w:rPr>
                <w:rFonts w:ascii="宋体" w:hAnsi="宋体"/>
                <w:b/>
                <w:sz w:val="21"/>
                <w:szCs w:val="21"/>
              </w:rPr>
            </w:pPr>
            <w:r>
              <w:rPr>
                <w:rFonts w:hint="eastAsia" w:ascii="宋体" w:hAnsi="宋体"/>
                <w:b/>
                <w:sz w:val="21"/>
                <w:szCs w:val="21"/>
              </w:rPr>
              <w:t>管理者代表</w:t>
            </w:r>
          </w:p>
        </w:tc>
        <w:tc>
          <w:tcPr>
            <w:tcW w:w="1981" w:type="dxa"/>
            <w:vAlign w:val="center"/>
          </w:tcPr>
          <w:p>
            <w:pPr>
              <w:jc w:val="center"/>
              <w:rPr>
                <w:rFonts w:ascii="宋体"/>
                <w:b/>
                <w:sz w:val="21"/>
              </w:rPr>
            </w:pPr>
            <w:bookmarkStart w:id="20" w:name="管理者代表"/>
            <w:r>
              <w:rPr>
                <w:rFonts w:ascii="宋体"/>
                <w:b/>
                <w:sz w:val="21"/>
              </w:rPr>
              <w:t>南伍水</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2021年06月03日 上午至2021年06月04日 下午</w:t>
            </w:r>
            <w:bookmarkEnd w:id="21"/>
          </w:p>
        </w:tc>
        <w:tc>
          <w:tcPr>
            <w:tcW w:w="1469" w:type="dxa"/>
            <w:vAlign w:val="center"/>
          </w:tcPr>
          <w:p>
            <w:pPr>
              <w:rPr>
                <w:rFonts w:ascii="宋体" w:hAnsi="宋体"/>
                <w:b/>
                <w:sz w:val="21"/>
                <w:szCs w:val="21"/>
              </w:rPr>
            </w:pPr>
            <w:r>
              <w:rPr>
                <w:rFonts w:hint="eastAsia" w:ascii="宋体" w:hAnsi="宋体"/>
                <w:b/>
                <w:sz w:val="21"/>
                <w:szCs w:val="21"/>
              </w:rPr>
              <w:t>一体化审核</w:t>
            </w:r>
          </w:p>
        </w:tc>
        <w:tc>
          <w:tcPr>
            <w:tcW w:w="3321"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hint="eastAsia" w:ascii="宋体" w:hAnsi="宋体" w:eastAsia="宋体"/>
                <w:b/>
                <w:sz w:val="21"/>
                <w:szCs w:val="21"/>
                <w:lang w:eastAsia="zh-CN"/>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r>
              <w:rPr>
                <w:rFonts w:hint="eastAsia" w:ascii="宋体" w:hAnsi="宋体"/>
                <w:b w:val="0"/>
                <w:bCs/>
                <w:sz w:val="21"/>
                <w:szCs w:val="21"/>
              </w:rPr>
              <w:t>音体美器材、教学仪器、健身器材、学生课桌椅床、办公家具、厨房设备、劳技器材、电器、电脑耗材、实验室设备、玩具（对儿童有危害的除外）的销售</w:t>
            </w:r>
            <w:r>
              <w:rPr>
                <w:rFonts w:hint="eastAsia" w:ascii="宋体" w:hAnsi="宋体"/>
                <w:b w:val="0"/>
                <w:bCs/>
                <w:sz w:val="21"/>
                <w:szCs w:val="21"/>
                <w:lang w:eastAsia="zh-CN"/>
              </w:rPr>
              <w:t>。</w:t>
            </w:r>
          </w:p>
          <w:p>
            <w:pPr>
              <w:spacing w:line="360" w:lineRule="exact"/>
              <w:rPr>
                <w:rFonts w:hint="eastAsia" w:ascii="宋体" w:hAnsi="宋体" w:eastAsia="宋体"/>
                <w:b/>
                <w:sz w:val="21"/>
                <w:szCs w:val="21"/>
                <w:lang w:eastAsia="zh-CN"/>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rFonts w:hint="eastAsia" w:ascii="宋体" w:hAnsi="宋体"/>
                <w:b w:val="0"/>
                <w:bCs/>
                <w:sz w:val="21"/>
                <w:szCs w:val="21"/>
              </w:rPr>
              <w:t>音体美器材、教学仪器、健身器材、学生课桌椅床、办公家具、厨房设备、劳技器材、电器、电脑耗材、实验室设备、玩具（对儿童有危害的除外）的销售及相关环境管理活动</w:t>
            </w:r>
            <w:r>
              <w:rPr>
                <w:rFonts w:hint="eastAsia" w:ascii="宋体" w:hAnsi="宋体"/>
                <w:b w:val="0"/>
                <w:bCs/>
                <w:sz w:val="21"/>
                <w:szCs w:val="21"/>
                <w:lang w:eastAsia="zh-CN"/>
              </w:rPr>
              <w:t>。</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rFonts w:hint="eastAsia" w:ascii="宋体" w:hAnsi="宋体"/>
                <w:b w:val="0"/>
                <w:bCs/>
                <w:sz w:val="21"/>
                <w:szCs w:val="21"/>
              </w:rPr>
              <w:t xml:space="preserve">音体美器材、教学仪器、健身器材、学生课桌椅床、办公家具、厨房设备、劳技器材、电器、电脑耗材、实验室设备、玩具（对儿童有危害的除外）的销售及相关职业健康安全管理活动 </w:t>
            </w:r>
            <w:r>
              <w:rPr>
                <w:rFonts w:hint="eastAsia" w:ascii="宋体" w:hAnsi="宋体"/>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5" w:name="专业代码"/>
            <w:r>
              <w:rPr>
                <w:rFonts w:ascii="宋体" w:hAnsi="宋体"/>
                <w:b/>
                <w:sz w:val="21"/>
                <w:szCs w:val="21"/>
              </w:rPr>
              <w:t>E：29.12.00</w:t>
            </w:r>
          </w:p>
          <w:p>
            <w:pPr>
              <w:spacing w:line="260" w:lineRule="exact"/>
              <w:jc w:val="center"/>
              <w:rPr>
                <w:rFonts w:ascii="宋体" w:hAnsi="宋体"/>
                <w:b/>
                <w:sz w:val="21"/>
                <w:szCs w:val="21"/>
              </w:rPr>
            </w:pPr>
            <w:r>
              <w:rPr>
                <w:rFonts w:ascii="宋体" w:hAnsi="宋体"/>
                <w:b/>
                <w:sz w:val="21"/>
                <w:szCs w:val="21"/>
              </w:rPr>
              <w:t>Q：29.12.00</w:t>
            </w:r>
          </w:p>
          <w:p>
            <w:pPr>
              <w:spacing w:line="260" w:lineRule="exact"/>
              <w:jc w:val="center"/>
              <w:rPr>
                <w:rFonts w:ascii="宋体" w:hAnsi="宋体"/>
                <w:b/>
                <w:sz w:val="21"/>
                <w:szCs w:val="21"/>
              </w:rPr>
            </w:pPr>
            <w:r>
              <w:rPr>
                <w:rFonts w:ascii="宋体" w:hAnsi="宋体"/>
                <w:b/>
                <w:sz w:val="21"/>
                <w:szCs w:val="21"/>
              </w:rPr>
              <w:t>O：29.12.00</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69" w:type="dxa"/>
            <w:vAlign w:val="center"/>
          </w:tcPr>
          <w:p>
            <w:pPr>
              <w:spacing w:line="260" w:lineRule="exact"/>
              <w:jc w:val="center"/>
              <w:rPr>
                <w:rFonts w:ascii="宋体" w:hAnsi="宋体"/>
                <w:b/>
                <w:sz w:val="21"/>
                <w:szCs w:val="21"/>
              </w:rPr>
            </w:pPr>
            <w:r>
              <w:rPr>
                <w:rFonts w:hint="eastAsia" w:ascii="宋体" w:hAnsi="宋体"/>
                <w:b/>
                <w:sz w:val="21"/>
                <w:szCs w:val="21"/>
                <w:lang w:val="en-US" w:eastAsia="zh-CN"/>
              </w:rPr>
              <w:t>2022.06.20</w:t>
            </w:r>
          </w:p>
        </w:tc>
        <w:tc>
          <w:tcPr>
            <w:tcW w:w="134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81" w:type="dxa"/>
            <w:vAlign w:val="center"/>
          </w:tcPr>
          <w:p>
            <w:pPr>
              <w:spacing w:line="260" w:lineRule="exact"/>
              <w:jc w:val="center"/>
              <w:rPr>
                <w:rFonts w:ascii="宋体"/>
                <w:b/>
                <w:sz w:val="21"/>
              </w:rPr>
            </w:pPr>
            <w:r>
              <w:rPr>
                <w:rFonts w:ascii="宋体" w:hAnsi="宋体"/>
                <w:b/>
                <w:sz w:val="21"/>
                <w:szCs w:val="21"/>
              </w:rPr>
              <w:t>2020年05月06日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rPr>
                <w:rFonts w:ascii="宋体" w:hAnsi="宋体"/>
                <w:b/>
                <w:sz w:val="21"/>
                <w:szCs w:val="21"/>
              </w:rPr>
            </w:pPr>
            <w:r>
              <w:rPr>
                <w:rFonts w:hint="eastAsia" w:ascii="宋体" w:hAnsi="宋体"/>
                <w:b w:val="0"/>
                <w:bCs/>
                <w:sz w:val="21"/>
                <w:szCs w:val="21"/>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numId w:val="0"/>
              </w:numPr>
              <w:spacing w:line="360" w:lineRule="auto"/>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相关方需求和期望识别情况</w:t>
            </w:r>
          </w:p>
          <w:p>
            <w:pPr>
              <w:numPr>
                <w:numId w:val="0"/>
              </w:numPr>
              <w:spacing w:line="360" w:lineRule="auto"/>
              <w:rPr>
                <w:rFonts w:hint="eastAsia" w:ascii="宋体" w:hAnsi="宋体"/>
                <w:b w:val="0"/>
                <w:bCs/>
                <w:sz w:val="21"/>
                <w:szCs w:val="21"/>
              </w:rPr>
            </w:pPr>
            <w:r>
              <w:rPr>
                <w:rFonts w:hint="eastAsia" w:ascii="宋体" w:hAnsi="宋体"/>
                <w:b w:val="0"/>
                <w:bCs/>
                <w:sz w:val="21"/>
                <w:szCs w:val="21"/>
              </w:rPr>
              <w:t>提供了《组织的相关方需求和期望调查表》，相关方包括顾客、股东、员工、供应商、竞争对手、社会团体等。相关方期望和要求为价格、安全性、合同协议、行业规范标准等。识别的方法为：主动调查、水平对比等。检测指标或项目：顾客满意度、客户投诉率、供方评价表等。</w:t>
            </w:r>
          </w:p>
          <w:p>
            <w:pPr>
              <w:spacing w:line="360" w:lineRule="auto"/>
              <w:rPr>
                <w:rFonts w:ascii="宋体" w:hAnsi="宋体"/>
                <w:b/>
                <w:sz w:val="21"/>
                <w:szCs w:val="21"/>
              </w:rPr>
            </w:pPr>
            <w:r>
              <w:rPr>
                <w:rFonts w:hint="eastAsia" w:ascii="宋体" w:hAnsi="宋体"/>
                <w:b w:val="0"/>
                <w:bCs/>
                <w:sz w:val="21"/>
                <w:szCs w:val="21"/>
              </w:rPr>
              <w:t>基本识别了与组织管理体系有关的相关方和要求。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rPr>
                <w:rFonts w:hint="eastAsia" w:ascii="宋体" w:hAnsi="宋体" w:eastAsia="宋体" w:cs="宋体"/>
                <w:b w:val="0"/>
                <w:bCs/>
                <w:sz w:val="21"/>
                <w:szCs w:val="21"/>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质量方针：科学管理、质量第一、持续改进、顾客满意</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环境方针：强化环境意识，严守环境法规，完善环境行为，严防环境污染</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职业健康安全方针：遵纪守法，消除危害隐患；以人为本，保障员工安康</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总经理:南伍水；管代：刘献涛，按照标准要求制订的方针，并介绍了方针的含义，对体系知识的学习还需加强。管理评审对质量、环境、职业健康安全方针的适宜性作了评审，判定适宜，适合公司的发展需求。</w:t>
            </w:r>
          </w:p>
          <w:p>
            <w:pPr>
              <w:spacing w:line="360" w:lineRule="auto"/>
              <w:ind w:firstLine="420" w:firstLineChars="200"/>
              <w:rPr>
                <w:rFonts w:ascii="宋体" w:hAnsi="宋体"/>
                <w:b/>
                <w:sz w:val="21"/>
                <w:szCs w:val="21"/>
              </w:rPr>
            </w:pPr>
            <w:r>
              <w:rPr>
                <w:rFonts w:hint="eastAsia" w:ascii="宋体" w:hAnsi="宋体" w:eastAsia="宋体" w:cs="宋体"/>
                <w:b w:val="0"/>
                <w:bCs/>
                <w:sz w:val="21"/>
                <w:szCs w:val="21"/>
              </w:rPr>
              <w:t>质量、环境和职业健康安全方针符合标准要求。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风险识别与控制策划</w:t>
            </w:r>
          </w:p>
          <w:p>
            <w:pPr>
              <w:numPr>
                <w:numId w:val="0"/>
              </w:numPr>
              <w:spacing w:line="360" w:lineRule="auto"/>
              <w:rPr>
                <w:rFonts w:ascii="宋体" w:hAnsi="宋体"/>
                <w:b/>
                <w:sz w:val="21"/>
                <w:szCs w:val="21"/>
              </w:rPr>
            </w:pPr>
            <w:r>
              <w:rPr>
                <w:rFonts w:hint="eastAsia" w:ascii="宋体" w:hAnsi="宋体" w:eastAsia="宋体" w:cs="宋体"/>
                <w:b w:val="0"/>
                <w:bCs/>
                <w:sz w:val="21"/>
                <w:szCs w:val="21"/>
                <w:lang w:val="en-US" w:eastAsia="zh-CN"/>
              </w:rPr>
              <w:t>提供</w:t>
            </w:r>
            <w:r>
              <w:rPr>
                <w:rFonts w:hint="eastAsia" w:ascii="宋体" w:hAnsi="宋体" w:eastAsia="宋体" w:cs="宋体"/>
                <w:b w:val="0"/>
                <w:bCs/>
                <w:sz w:val="21"/>
                <w:szCs w:val="21"/>
              </w:rPr>
              <w:t>《风险和机遇评估分析表》明确了风险和机遇事件的识别方法/途径、风险和机遇的评估方式，对识别出的风险和机遇制定有效的应对措施；并评价这些措施有效性。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21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b w:val="0"/>
                <w:bCs/>
                <w:sz w:val="21"/>
                <w:szCs w:val="21"/>
              </w:rPr>
              <w:t>人力资源、基础设施、文件、机构、职责、产品和服务的要求、外部提供的产品和服务、销售提供、服务放行、不合格输出控制、绩效评价、改进等</w:t>
            </w:r>
          </w:p>
          <w:p>
            <w:pPr>
              <w:tabs>
                <w:tab w:val="left" w:pos="540"/>
              </w:tabs>
              <w:spacing w:line="360" w:lineRule="auto"/>
              <w:ind w:left="211" w:hanging="211" w:hangingChars="100"/>
              <w:rPr>
                <w:rFonts w:ascii="宋体" w:hAnsi="宋体"/>
                <w:b/>
                <w:sz w:val="21"/>
                <w:szCs w:val="21"/>
              </w:rPr>
            </w:pPr>
            <w:r>
              <w:rPr>
                <w:rFonts w:hint="eastAsia" w:ascii="宋体" w:hAnsi="宋体"/>
                <w:b/>
                <w:sz w:val="21"/>
                <w:szCs w:val="21"/>
              </w:rPr>
              <w:t>其中关键过程有</w:t>
            </w:r>
            <w:r>
              <w:rPr>
                <w:rFonts w:hint="eastAsia" w:ascii="宋体" w:hAnsi="宋体"/>
                <w:b w:val="0"/>
                <w:bCs/>
                <w:sz w:val="21"/>
                <w:szCs w:val="21"/>
              </w:rPr>
              <w:t>销售服务过程</w:t>
            </w:r>
          </w:p>
          <w:p>
            <w:pPr>
              <w:tabs>
                <w:tab w:val="left" w:pos="540"/>
              </w:tabs>
              <w:spacing w:line="360" w:lineRule="auto"/>
              <w:ind w:left="211" w:hanging="211" w:hangingChars="100"/>
              <w:rPr>
                <w:rFonts w:ascii="宋体" w:hAnsi="宋体"/>
                <w:b/>
                <w:sz w:val="21"/>
                <w:szCs w:val="21"/>
              </w:rPr>
            </w:pPr>
            <w:r>
              <w:rPr>
                <w:rFonts w:hint="eastAsia" w:ascii="宋体" w:hAnsi="宋体"/>
                <w:b/>
                <w:sz w:val="21"/>
                <w:szCs w:val="21"/>
              </w:rPr>
              <w:t>需要确认过程</w:t>
            </w:r>
            <w:r>
              <w:rPr>
                <w:rFonts w:hint="eastAsia" w:ascii="宋体" w:hAnsi="宋体"/>
                <w:b w:val="0"/>
                <w:bCs/>
                <w:sz w:val="21"/>
                <w:szCs w:val="21"/>
              </w:rPr>
              <w:t>销售服务过程。</w:t>
            </w:r>
          </w:p>
          <w:p>
            <w:pPr>
              <w:tabs>
                <w:tab w:val="left" w:pos="540"/>
              </w:tabs>
              <w:spacing w:line="360" w:lineRule="auto"/>
              <w:ind w:left="211" w:hanging="211" w:hangingChars="100"/>
              <w:rPr>
                <w:rFonts w:ascii="宋体" w:hAnsi="宋体"/>
                <w:b/>
                <w:sz w:val="21"/>
                <w:szCs w:val="21"/>
              </w:rPr>
            </w:pPr>
            <w:r>
              <w:rPr>
                <w:rFonts w:hint="eastAsia" w:ascii="宋体" w:hAnsi="宋体"/>
                <w:b/>
                <w:sz w:val="21"/>
                <w:szCs w:val="21"/>
              </w:rPr>
              <w:t>删减条款是，</w:t>
            </w:r>
            <w:r>
              <w:rPr>
                <w:rFonts w:hint="eastAsia" w:ascii="宋体" w:hAnsi="宋体"/>
                <w:b w:val="0"/>
                <w:bCs/>
                <w:sz w:val="21"/>
                <w:szCs w:val="21"/>
                <w:u w:val="single"/>
              </w:rPr>
              <w:t>8.3条款</w:t>
            </w:r>
            <w:r>
              <w:rPr>
                <w:rFonts w:hint="eastAsia" w:ascii="宋体" w:hAnsi="宋体"/>
                <w:b/>
                <w:sz w:val="21"/>
                <w:szCs w:val="21"/>
                <w:lang w:val="en-US" w:eastAsia="zh-CN"/>
              </w:rPr>
              <w:t xml:space="preserve"> </w:t>
            </w:r>
            <w:r>
              <w:rPr>
                <w:rFonts w:hint="eastAsia" w:ascii="宋体" w:hAnsi="宋体"/>
                <w:b/>
                <w:sz w:val="21"/>
                <w:szCs w:val="21"/>
              </w:rPr>
              <w:t>删减理由：</w:t>
            </w:r>
            <w:r>
              <w:rPr>
                <w:rFonts w:hint="eastAsia" w:ascii="宋体" w:hAnsi="宋体"/>
                <w:b w:val="0"/>
                <w:bCs/>
                <w:sz w:val="21"/>
                <w:szCs w:val="21"/>
              </w:rPr>
              <w:t>公司销售服务按相关法律法规及顾客要求进行，销售服务流程成熟、稳定。公司删减8.3设计开发条款不影响公司提供满足顾客和法律法规要求的服务的能力和责任。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ascii="宋体" w:hAnsi="宋体"/>
                <w:b/>
                <w:sz w:val="21"/>
                <w:szCs w:val="21"/>
              </w:rPr>
            </w:pPr>
            <w:r>
              <w:rPr>
                <w:rFonts w:hint="eastAsia" w:ascii="宋体" w:hAnsi="宋体"/>
                <w:b w:val="0"/>
                <w:bCs/>
                <w:sz w:val="21"/>
                <w:szCs w:val="21"/>
              </w:rPr>
              <w:t>提供的“环境因素识别评价表”“重要环境因素清单”， 评价考虑了三种时态现在、过去、将来、三种状态、异常、正常、紧急考虑了法律法规，并进行了评价，用打分法考虑了法规符合性、</w:t>
            </w:r>
            <w:r>
              <w:rPr>
                <w:rFonts w:hint="eastAsia" w:ascii="宋体" w:hAnsi="宋体" w:eastAsia="宋体" w:cs="Times New Roman"/>
                <w:b w:val="0"/>
                <w:bCs/>
                <w:sz w:val="21"/>
                <w:szCs w:val="21"/>
              </w:rPr>
              <w:t>发生频次、影响范围等, 通过定性判断法，共识别出重大环境因素2项。对重要环境因素的控制措施包括制定管理制度、监督检查、应急预案、培训等。提供《重要环境因素识别清单》，其中综合部涉及的重要环境因素：固体废弃物排放、意外火灾的发生，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360" w:lineRule="auto"/>
              <w:ind w:firstLine="422" w:firstLineChars="200"/>
              <w:rPr>
                <w:rFonts w:hint="eastAsia" w:ascii="宋体" w:hAnsi="宋体" w:eastAsia="宋体" w:cs="宋体"/>
                <w:sz w:val="21"/>
                <w:szCs w:val="21"/>
              </w:rPr>
            </w:pPr>
            <w:r>
              <w:rPr>
                <w:rFonts w:hint="eastAsia" w:ascii="宋体" w:hAnsi="宋体"/>
                <w:b/>
                <w:sz w:val="21"/>
                <w:szCs w:val="21"/>
              </w:rPr>
              <w:t>（职业健康安全危险源辨识是否充分、风险评价合理性，以及风险评价动态变更的及时性等）</w:t>
            </w:r>
            <w:r>
              <w:rPr>
                <w:rFonts w:hint="eastAsia" w:ascii="宋体" w:hAnsi="宋体" w:eastAsia="宋体" w:cs="宋体"/>
                <w:sz w:val="21"/>
                <w:szCs w:val="21"/>
              </w:rPr>
              <w:t>涉及的危险源有：计算机辐射，设备损坏漏电引起触电、火灾电磁辐射人身损害</w:t>
            </w:r>
            <w:r>
              <w:rPr>
                <w:rFonts w:hint="eastAsia" w:ascii="宋体" w:hAnsi="宋体" w:cs="宋体"/>
                <w:sz w:val="21"/>
                <w:szCs w:val="21"/>
                <w:lang w:eastAsia="zh-CN"/>
              </w:rPr>
              <w:t>、</w:t>
            </w:r>
            <w:r>
              <w:rPr>
                <w:rFonts w:hint="eastAsia" w:ascii="宋体" w:hAnsi="宋体" w:eastAsia="宋体" w:cs="宋体"/>
                <w:sz w:val="21"/>
                <w:szCs w:val="21"/>
              </w:rPr>
              <w:t>车辆意外事故等。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提供的：“危险源识别与风险评价表”“不可接受风险源清单”， 评价考虑了将来、状态、可能导致的事件，并进行了评价，用打分法考虑了法规符合性、发生频次、影响范围等, 通过是非法，共识别出不可接受风险1项，涉及：火灾，评价符合程序要求及公司的实际情况。</w:t>
            </w:r>
          </w:p>
          <w:p>
            <w:pPr>
              <w:spacing w:line="360" w:lineRule="auto"/>
              <w:rPr>
                <w:rFonts w:ascii="宋体" w:hAnsi="宋体"/>
                <w:b/>
                <w:sz w:val="21"/>
                <w:szCs w:val="21"/>
              </w:rPr>
            </w:pPr>
            <w:r>
              <w:rPr>
                <w:rFonts w:hint="eastAsia" w:ascii="宋体" w:hAnsi="宋体" w:eastAsia="宋体" w:cs="宋体"/>
                <w:sz w:val="21"/>
                <w:szCs w:val="21"/>
              </w:rPr>
              <w:t>对危险源的控制措施包括制定管理制度、监督检查、应急预案、培训等。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5"/>
              <w:numPr>
                <w:ilvl w:val="0"/>
                <w:numId w:val="2"/>
              </w:numPr>
              <w:tabs>
                <w:tab w:val="left" w:pos="540"/>
              </w:tabs>
              <w:spacing w:line="360" w:lineRule="auto"/>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5"/>
              <w:numPr>
                <w:ilvl w:val="0"/>
                <w:numId w:val="2"/>
              </w:numPr>
              <w:tabs>
                <w:tab w:val="left" w:pos="540"/>
              </w:tabs>
              <w:spacing w:line="360" w:lineRule="auto"/>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5"/>
              <w:numPr>
                <w:ilvl w:val="0"/>
                <w:numId w:val="2"/>
              </w:numPr>
              <w:tabs>
                <w:tab w:val="left" w:pos="540"/>
              </w:tabs>
              <w:spacing w:line="360" w:lineRule="auto"/>
              <w:ind w:firstLineChars="0"/>
              <w:rPr>
                <w:rFonts w:ascii="宋体" w:hAnsi="宋体"/>
                <w:b/>
                <w:szCs w:val="21"/>
              </w:rPr>
            </w:pPr>
            <w:r>
              <w:rPr>
                <w:rFonts w:hint="eastAsia" w:ascii="宋体" w:hAnsi="宋体"/>
                <w:b/>
                <w:szCs w:val="21"/>
              </w:rPr>
              <w:t>法律法规的宣传方式：</w:t>
            </w:r>
            <w:r>
              <w:rPr>
                <w:rFonts w:hint="eastAsia" w:ascii="宋体" w:hAnsi="宋体"/>
                <w:szCs w:val="21"/>
                <w:u w:val="none"/>
              </w:rPr>
              <w:t>公司通过培训、会议等方式向有关员工传达法律、法规及其它要求的相关要求。</w:t>
            </w:r>
          </w:p>
          <w:p>
            <w:pPr>
              <w:pStyle w:val="15"/>
              <w:numPr>
                <w:ilvl w:val="0"/>
                <w:numId w:val="2"/>
              </w:numPr>
              <w:tabs>
                <w:tab w:val="left" w:pos="540"/>
              </w:tabs>
              <w:spacing w:line="360" w:lineRule="auto"/>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总经理负责组织制定公司的管理目标，并在公司各部门进行分解，制定时考虑了公司的质量过程及其风险和机遇。</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 xml:space="preserve">公司质量目标：                 完成情况 </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产品一次交检合格率≥95％</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 xml:space="preserve">       100%</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顾客满意率≥90％</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 xml:space="preserve">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 xml:space="preserve">  9</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 xml:space="preserve">合同履约率100%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 xml:space="preserve">  100% </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健康、安全、环境目标</w:t>
            </w:r>
          </w:p>
          <w:p>
            <w:pPr>
              <w:spacing w:line="360" w:lineRule="auto"/>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固体废弃物分类率100% ；</w:t>
            </w:r>
            <w:r>
              <w:rPr>
                <w:rFonts w:hint="eastAsia" w:ascii="宋体" w:hAnsi="宋体" w:eastAsia="宋体" w:cs="宋体"/>
                <w:b w:val="0"/>
                <w:bCs/>
                <w:sz w:val="21"/>
                <w:szCs w:val="21"/>
                <w:lang w:val="en-US" w:eastAsia="zh-CN"/>
              </w:rPr>
              <w:t xml:space="preserve">          100%</w:t>
            </w:r>
          </w:p>
          <w:p>
            <w:pPr>
              <w:spacing w:line="360" w:lineRule="auto"/>
              <w:ind w:firstLine="420" w:firstLineChars="200"/>
              <w:rPr>
                <w:rFonts w:hint="eastAsia"/>
              </w:rPr>
            </w:pPr>
            <w:r>
              <w:rPr>
                <w:rFonts w:hint="eastAsia" w:ascii="宋体" w:hAnsi="宋体" w:eastAsia="宋体" w:cs="宋体"/>
                <w:b w:val="0"/>
                <w:bCs/>
                <w:sz w:val="21"/>
                <w:szCs w:val="21"/>
              </w:rPr>
              <w:t>消除火灾隐患，火灾发生率为0。     0</w:t>
            </w:r>
            <w:r>
              <w:rPr>
                <w:rFonts w:hint="eastAsia" w:ascii="宋体" w:hAnsi="宋体" w:eastAsia="宋体" w:cs="宋体"/>
                <w:b w:val="0"/>
                <w:bCs/>
                <w:sz w:val="21"/>
                <w:szCs w:val="21"/>
              </w:rPr>
              <w:tab/>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以上目标指标均已完成，管理目标适宜。</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提供《目标指标和管理方案》《目标指标和管理方案考核表》</w:t>
            </w:r>
          </w:p>
          <w:p>
            <w:pPr>
              <w:spacing w:line="360" w:lineRule="auto"/>
              <w:rPr>
                <w:rFonts w:ascii="宋体" w:hAnsi="宋体"/>
                <w:b/>
                <w:sz w:val="21"/>
                <w:szCs w:val="21"/>
              </w:rPr>
            </w:pPr>
            <w:r>
              <w:rPr>
                <w:rFonts w:hint="eastAsia" w:ascii="宋体" w:hAnsi="宋体" w:eastAsia="宋体" w:cs="宋体"/>
                <w:b w:val="0"/>
                <w:bCs/>
                <w:sz w:val="21"/>
                <w:szCs w:val="21"/>
              </w:rPr>
              <w:t>以上目标指标均已完成，管理方案规定了措施方法、完成时间表、责任人、资金等情况。目标指标和管理方案可行，在实施过程中。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b w:val="0"/>
                <w:bCs/>
                <w:sz w:val="21"/>
                <w:szCs w:val="21"/>
              </w:rPr>
              <w:t>2019年09月10日重新修订了管理手册，体系文件符合公司要求，文件和记录管理控制符合标准要求。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ind w:firstLine="420" w:firstLineChars="200"/>
              <w:rPr>
                <w:rFonts w:ascii="宋体" w:hAnsi="宋体"/>
                <w:b/>
                <w:sz w:val="21"/>
                <w:szCs w:val="21"/>
              </w:rPr>
            </w:pPr>
            <w:r>
              <w:rPr>
                <w:rFonts w:hint="eastAsia" w:ascii="宋体" w:hAnsi="宋体"/>
                <w:b w:val="0"/>
                <w:bCs/>
                <w:sz w:val="21"/>
                <w:szCs w:val="21"/>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电脑、打印机、电话、网络、交通车等。</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ind w:firstLine="210" w:firstLineChars="100"/>
              <w:rPr>
                <w:rFonts w:ascii="宋体" w:hAnsi="宋体"/>
                <w:b/>
                <w:sz w:val="21"/>
                <w:szCs w:val="21"/>
              </w:rPr>
            </w:pPr>
            <w:r>
              <w:rPr>
                <w:rFonts w:hint="eastAsia"/>
                <w:sz w:val="21"/>
                <w:szCs w:val="21"/>
                <w:u w:val="none"/>
              </w:rPr>
              <w:t>产品销售服务对环境没有特殊要求，产</w:t>
            </w:r>
            <w:r>
              <w:rPr>
                <w:rFonts w:hint="eastAsia"/>
                <w:sz w:val="21"/>
                <w:szCs w:val="21"/>
                <w:u w:val="none"/>
                <w:lang w:val="en-US" w:eastAsia="zh-CN"/>
              </w:rPr>
              <w:t>品</w:t>
            </w:r>
            <w:r>
              <w:rPr>
                <w:rFonts w:hint="eastAsia"/>
                <w:sz w:val="21"/>
                <w:szCs w:val="21"/>
                <w:u w:val="none"/>
              </w:rPr>
              <w:t>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ind w:firstLine="420" w:firstLineChars="200"/>
              <w:rPr>
                <w:rFonts w:ascii="宋体" w:hAnsi="宋体"/>
                <w:b/>
                <w:sz w:val="21"/>
                <w:szCs w:val="21"/>
              </w:rPr>
            </w:pPr>
            <w:r>
              <w:rPr>
                <w:rFonts w:hint="eastAsia"/>
                <w:sz w:val="21"/>
                <w:szCs w:val="21"/>
              </w:rPr>
              <w:t>公司产品直接由供应商或由公司送至客户处，无需监视和测量装置，没有进行强制检定的监视测量设备。公司的监视和测量主要是通过人工进行检查，公司配备了能够胜任岗位的人力资源，目前配备的人员均能满足要求</w:t>
            </w:r>
            <w:r>
              <w:rPr>
                <w:rFonts w:hint="eastAsia"/>
                <w:sz w:val="21"/>
                <w:szCs w:val="21"/>
                <w:lang w:eastAsia="zh-CN"/>
              </w:rPr>
              <w:t>，</w:t>
            </w:r>
            <w:r>
              <w:rPr>
                <w:rFonts w:hint="eastAsia"/>
                <w:sz w:val="21"/>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360" w:lineRule="auto"/>
              <w:ind w:firstLine="420" w:firstLineChars="200"/>
              <w:rPr>
                <w:rFonts w:ascii="宋体" w:hAnsi="宋体"/>
                <w:b/>
                <w:sz w:val="21"/>
                <w:szCs w:val="21"/>
                <w:u w:val="none"/>
              </w:rPr>
            </w:pPr>
            <w:r>
              <w:rPr>
                <w:rFonts w:hint="eastAsia"/>
                <w:sz w:val="21"/>
                <w:szCs w:val="21"/>
                <w:u w:val="non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ind w:firstLine="210" w:firstLineChars="100"/>
              <w:rPr>
                <w:rFonts w:ascii="宋体" w:hAnsi="宋体"/>
                <w:b/>
                <w:sz w:val="21"/>
                <w:szCs w:val="21"/>
              </w:rPr>
            </w:pPr>
            <w:r>
              <w:rPr>
                <w:rFonts w:hint="eastAsia" w:ascii="宋体" w:hAnsi="宋体"/>
                <w:b w:val="0"/>
                <w:bCs/>
                <w:sz w:val="21"/>
                <w:szCs w:val="21"/>
              </w:rPr>
              <w:t>分类垃圾桶</w:t>
            </w:r>
            <w:r>
              <w:rPr>
                <w:rFonts w:hint="eastAsia" w:ascii="宋体" w:hAnsi="宋体"/>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职业健康安全设施：</w:t>
            </w:r>
          </w:p>
          <w:p>
            <w:pPr>
              <w:spacing w:line="360" w:lineRule="auto"/>
              <w:ind w:firstLine="420" w:firstLineChars="200"/>
              <w:rPr>
                <w:rFonts w:ascii="宋体" w:hAnsi="宋体"/>
                <w:b/>
                <w:sz w:val="21"/>
                <w:szCs w:val="21"/>
              </w:rPr>
            </w:pPr>
            <w:r>
              <w:rPr>
                <w:rFonts w:hint="eastAsia" w:ascii="宋体" w:hAnsi="宋体" w:eastAsia="宋体" w:cs="宋体"/>
                <w:sz w:val="21"/>
                <w:szCs w:val="21"/>
                <w:u w:val="none"/>
              </w:rPr>
              <w:t>配有灭火器、劳保用品。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firstLine="420" w:firstLineChars="200"/>
              <w:rPr>
                <w:rFonts w:ascii="宋体" w:hAnsi="宋体"/>
                <w:b/>
                <w:sz w:val="21"/>
                <w:szCs w:val="21"/>
              </w:rPr>
            </w:pPr>
            <w:r>
              <w:rPr>
                <w:rFonts w:hint="eastAsia" w:ascii="宋体" w:hAnsi="宋体"/>
                <w:sz w:val="21"/>
                <w:szCs w:val="21"/>
                <w:u w:val="none"/>
              </w:rPr>
              <w:t>根据组织宗旨制定了管理体系方针，进行了有效沟通，在管理评审时进行评审，</w:t>
            </w:r>
            <w:r>
              <w:rPr>
                <w:rFonts w:ascii="宋体" w:hAnsi="宋体"/>
                <w:sz w:val="21"/>
                <w:szCs w:val="21"/>
                <w:u w:val="none"/>
              </w:rPr>
              <w:t>符合要求</w:t>
            </w:r>
            <w:r>
              <w:rPr>
                <w:rFonts w:hint="eastAsia" w:ascii="宋体" w:hAnsi="宋体"/>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ascii="宋体" w:hAnsi="宋体"/>
                <w:b/>
                <w:color w:val="000000"/>
                <w:sz w:val="21"/>
                <w:szCs w:val="21"/>
                <w:u w:val="none"/>
              </w:rPr>
            </w:pPr>
            <w:r>
              <w:rPr>
                <w:rFonts w:hint="eastAsia" w:ascii="宋体" w:hAnsi="宋体"/>
                <w:b/>
                <w:color w:val="000000"/>
                <w:sz w:val="21"/>
                <w:szCs w:val="21"/>
                <w:u w:val="none"/>
              </w:rPr>
              <w:t>内部沟通的情况：内部沟通方式：</w:t>
            </w:r>
            <w:r>
              <w:rPr>
                <w:rFonts w:hint="eastAsia" w:ascii="宋体" w:hAnsi="宋体"/>
                <w:sz w:val="21"/>
                <w:szCs w:val="21"/>
                <w:u w:val="none"/>
              </w:rPr>
              <w:t>培训、会议、宣传栏；</w:t>
            </w:r>
          </w:p>
          <w:p>
            <w:pPr>
              <w:spacing w:line="360" w:lineRule="auto"/>
              <w:rPr>
                <w:rFonts w:ascii="宋体" w:hAnsi="宋体"/>
                <w:b/>
                <w:color w:val="000000"/>
                <w:sz w:val="21"/>
                <w:szCs w:val="21"/>
                <w:u w:val="none"/>
              </w:rPr>
            </w:pPr>
            <w:r>
              <w:rPr>
                <w:rFonts w:hint="eastAsia" w:ascii="宋体" w:hAnsi="宋体"/>
                <w:b/>
                <w:color w:val="000000"/>
                <w:sz w:val="21"/>
                <w:szCs w:val="21"/>
                <w:u w:val="none"/>
              </w:rPr>
              <w:t xml:space="preserve">                内部沟通的效果：</w:t>
            </w:r>
            <w:r>
              <w:rPr>
                <w:rFonts w:hint="eastAsia" w:ascii="宋体" w:hAnsi="宋体"/>
                <w:sz w:val="21"/>
                <w:szCs w:val="21"/>
                <w:u w:val="none"/>
              </w:rPr>
              <w:t>沟通畅通；</w:t>
            </w:r>
          </w:p>
          <w:p>
            <w:pPr>
              <w:spacing w:line="360" w:lineRule="auto"/>
              <w:rPr>
                <w:rFonts w:ascii="宋体" w:hAnsi="宋体"/>
                <w:b/>
                <w:color w:val="000000"/>
                <w:sz w:val="21"/>
                <w:szCs w:val="21"/>
                <w:u w:val="none"/>
              </w:rPr>
            </w:pPr>
            <w:r>
              <w:rPr>
                <w:rFonts w:hint="eastAsia" w:ascii="宋体" w:hAnsi="宋体"/>
                <w:b/>
                <w:color w:val="000000"/>
                <w:sz w:val="21"/>
                <w:szCs w:val="21"/>
                <w:u w:val="none"/>
              </w:rPr>
              <w:t>组织对外联络，关注顾客的感受情况（QMS）：</w:t>
            </w:r>
            <w:r>
              <w:rPr>
                <w:rFonts w:hint="eastAsia" w:ascii="宋体" w:hAnsi="宋体"/>
                <w:sz w:val="21"/>
                <w:szCs w:val="21"/>
                <w:u w:val="none"/>
              </w:rPr>
              <w:t xml:space="preserve"> 经满意度调查，顾客较满意。</w:t>
            </w:r>
          </w:p>
          <w:p>
            <w:pPr>
              <w:spacing w:line="360" w:lineRule="auto"/>
              <w:rPr>
                <w:rFonts w:ascii="宋体" w:hAnsi="宋体"/>
                <w:b/>
                <w:color w:val="000000"/>
                <w:sz w:val="21"/>
                <w:szCs w:val="21"/>
                <w:u w:val="none"/>
              </w:rPr>
            </w:pPr>
            <w:r>
              <w:rPr>
                <w:rFonts w:hint="eastAsia" w:ascii="宋体" w:hAnsi="宋体"/>
                <w:b/>
                <w:color w:val="000000"/>
                <w:sz w:val="21"/>
                <w:szCs w:val="21"/>
                <w:u w:val="none"/>
              </w:rPr>
              <w:t>外部信息的接收、成文并答复的情况（E、S填写）：</w:t>
            </w:r>
            <w:r>
              <w:rPr>
                <w:rFonts w:hint="eastAsia" w:ascii="宋体" w:hAnsi="宋体"/>
                <w:sz w:val="21"/>
                <w:szCs w:val="21"/>
                <w:u w:val="none"/>
              </w:rPr>
              <w:t>参加相关部门组织的会议，接收相关部门下达的通知并在公司内部沟通传达。</w:t>
            </w:r>
          </w:p>
          <w:p>
            <w:pPr>
              <w:spacing w:line="360" w:lineRule="auto"/>
              <w:rPr>
                <w:rFonts w:ascii="宋体" w:hAnsi="宋体"/>
                <w:sz w:val="21"/>
                <w:szCs w:val="21"/>
                <w:u w:val="none"/>
              </w:rPr>
            </w:pPr>
            <w:r>
              <w:rPr>
                <w:rFonts w:hint="eastAsia" w:ascii="宋体" w:hAnsi="宋体"/>
                <w:b/>
                <w:color w:val="000000"/>
                <w:sz w:val="21"/>
                <w:szCs w:val="21"/>
                <w:u w:val="none"/>
              </w:rPr>
              <w:t>重要环境因素信息对外交流情况（EMS填写）：</w:t>
            </w:r>
            <w:r>
              <w:rPr>
                <w:rFonts w:hint="eastAsia" w:ascii="宋体" w:hAnsi="宋体"/>
                <w:sz w:val="21"/>
                <w:szCs w:val="21"/>
                <w:u w:val="none"/>
              </w:rPr>
              <w:t>对相关方进行环保告知。</w:t>
            </w:r>
          </w:p>
          <w:p>
            <w:pPr>
              <w:tabs>
                <w:tab w:val="left" w:pos="9720"/>
                <w:tab w:val="left" w:pos="9900"/>
              </w:tabs>
              <w:spacing w:line="360" w:lineRule="auto"/>
              <w:rPr>
                <w:rFonts w:ascii="宋体" w:hAnsi="宋体"/>
                <w:b/>
                <w:color w:val="000000"/>
                <w:sz w:val="21"/>
                <w:szCs w:val="21"/>
                <w:u w:val="none"/>
              </w:rPr>
            </w:pPr>
            <w:r>
              <w:rPr>
                <w:rFonts w:hint="eastAsia" w:ascii="宋体" w:hAnsi="宋体"/>
                <w:sz w:val="21"/>
                <w:szCs w:val="21"/>
                <w:u w:val="none"/>
              </w:rPr>
              <w:t>公司经选举确定告诉员工代表是</w:t>
            </w:r>
            <w:r>
              <w:rPr>
                <w:rFonts w:hint="eastAsia" w:ascii="宋体" w:hAnsi="宋体"/>
                <w:sz w:val="21"/>
                <w:szCs w:val="21"/>
                <w:u w:val="none"/>
                <w:lang w:eastAsia="zh-CN"/>
              </w:rPr>
              <w:t xml:space="preserve">刘改弟 </w:t>
            </w:r>
            <w:r>
              <w:rPr>
                <w:rFonts w:hint="eastAsia" w:ascii="宋体" w:hAnsi="宋体"/>
                <w:sz w:val="21"/>
                <w:szCs w:val="21"/>
                <w:u w:val="non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宋体" w:hAnsi="宋体"/>
                <w:b/>
                <w:sz w:val="21"/>
                <w:szCs w:val="21"/>
              </w:rPr>
            </w:pPr>
            <w:r>
              <w:rPr>
                <w:rFonts w:hint="eastAsia" w:ascii="宋体" w:hAnsi="宋体"/>
                <w:b/>
                <w:color w:val="000000"/>
                <w:sz w:val="21"/>
                <w:szCs w:val="21"/>
                <w:u w:val="none"/>
              </w:rPr>
              <w:t>与相关方协商的情况（OHSMS填写）：</w:t>
            </w:r>
            <w:r>
              <w:rPr>
                <w:rFonts w:hint="eastAsia" w:ascii="宋体" w:hAnsi="宋体"/>
                <w:sz w:val="21"/>
                <w:szCs w:val="21"/>
                <w:u w:val="none"/>
              </w:rPr>
              <w:t>对相关方进行安全告知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rPr>
                <w:rFonts w:hint="eastAsia"/>
                <w:lang w:eastAsia="zh-CN"/>
              </w:rPr>
            </w:pPr>
            <w:r>
              <w:rPr>
                <w:rFonts w:hint="eastAsia" w:ascii="宋体" w:hAnsi="宋体" w:cs="宋体"/>
                <w:sz w:val="21"/>
                <w:szCs w:val="21"/>
              </w:rPr>
              <w:t>公司主要从事</w:t>
            </w:r>
            <w:r>
              <w:rPr>
                <w:rFonts w:hint="eastAsia" w:ascii="宋体" w:hAnsi="宋体"/>
                <w:b w:val="0"/>
                <w:bCs/>
                <w:sz w:val="21"/>
                <w:szCs w:val="21"/>
              </w:rPr>
              <w:t>音体美器材、教学仪器、健身器材、学生课桌椅床、办公家具、厨房设备、劳技器材、电器、电脑耗材、实验室设备、玩具（对儿童有危害的除外）的销售</w:t>
            </w:r>
            <w:r>
              <w:rPr>
                <w:rFonts w:hint="eastAsia" w:ascii="宋体" w:hAnsi="宋体"/>
                <w:b w:val="0"/>
                <w:bCs/>
                <w:sz w:val="21"/>
                <w:szCs w:val="21"/>
                <w:lang w:eastAsia="zh-CN"/>
              </w:rPr>
              <w:t>。</w:t>
            </w:r>
          </w:p>
          <w:p>
            <w:pPr>
              <w:spacing w:line="360" w:lineRule="auto"/>
              <w:ind w:firstLine="420" w:firstLineChars="200"/>
              <w:rPr>
                <w:rFonts w:hint="eastAsia"/>
                <w:sz w:val="21"/>
                <w:szCs w:val="21"/>
              </w:rPr>
            </w:pPr>
            <w:r>
              <w:rPr>
                <w:rFonts w:hint="eastAsia"/>
                <w:sz w:val="21"/>
                <w:szCs w:val="21"/>
              </w:rPr>
              <w:t>销售流程</w:t>
            </w:r>
            <w:r>
              <w:rPr>
                <w:rFonts w:hint="eastAsia"/>
                <w:b w:val="0"/>
                <w:bCs w:val="0"/>
                <w:sz w:val="21"/>
                <w:szCs w:val="21"/>
              </w:rPr>
              <w:t>：</w:t>
            </w:r>
            <w:r>
              <w:rPr>
                <w:rFonts w:hint="eastAsia"/>
                <w:b w:val="0"/>
                <w:bCs w:val="0"/>
                <w:sz w:val="20"/>
              </w:rPr>
              <w:t>业务洽谈/招投标→评审→签订合同→采购→验证→交付。</w:t>
            </w:r>
            <w:r>
              <w:rPr>
                <w:rFonts w:hint="eastAsia"/>
                <w:b w:val="0"/>
                <w:bCs w:val="0"/>
                <w:sz w:val="21"/>
                <w:szCs w:val="21"/>
              </w:rPr>
              <w:t>.</w:t>
            </w:r>
          </w:p>
          <w:p>
            <w:pPr>
              <w:spacing w:line="360" w:lineRule="auto"/>
              <w:ind w:firstLine="420" w:firstLineChars="200"/>
              <w:rPr>
                <w:rFonts w:ascii="宋体" w:hAnsi="宋体" w:cs="宋体"/>
                <w:sz w:val="21"/>
                <w:szCs w:val="21"/>
              </w:rPr>
            </w:pPr>
            <w:r>
              <w:rPr>
                <w:rFonts w:hint="eastAsia" w:ascii="宋体" w:hAnsi="宋体" w:cs="宋体"/>
                <w:sz w:val="21"/>
                <w:szCs w:val="21"/>
              </w:rPr>
              <w:t>特殊过程是销售服务，提供特殊过程的《特殊过程确认记录》，对销售过程进行了过程确认。</w:t>
            </w:r>
          </w:p>
          <w:p>
            <w:pPr>
              <w:spacing w:line="360" w:lineRule="auto"/>
              <w:ind w:firstLine="420" w:firstLineChars="200"/>
              <w:rPr>
                <w:rFonts w:ascii="宋体" w:hAnsi="宋体" w:cs="宋体"/>
                <w:sz w:val="21"/>
                <w:szCs w:val="21"/>
              </w:rPr>
            </w:pPr>
            <w:r>
              <w:rPr>
                <w:rFonts w:hint="eastAsia" w:ascii="宋体" w:hAnsi="宋体" w:cs="宋体"/>
                <w:sz w:val="21"/>
                <w:szCs w:val="21"/>
              </w:rPr>
              <w:t>公司依据客户订单，下达采购计划，进行销售服务、质量及管理工作协调。</w:t>
            </w:r>
          </w:p>
          <w:p>
            <w:pPr>
              <w:spacing w:line="360" w:lineRule="auto"/>
              <w:ind w:firstLine="420" w:firstLineChars="200"/>
              <w:rPr>
                <w:rFonts w:ascii="宋体" w:hAnsi="宋体" w:cs="宋体"/>
                <w:sz w:val="21"/>
                <w:szCs w:val="21"/>
              </w:rPr>
            </w:pPr>
            <w:r>
              <w:rPr>
                <w:rFonts w:hint="eastAsia" w:ascii="宋体" w:hAnsi="宋体" w:cs="宋体"/>
                <w:sz w:val="21"/>
                <w:szCs w:val="21"/>
              </w:rPr>
              <w:t>通过采购产品检验、销售过程检验等对产品质量、销售服务质量等进行监控。</w:t>
            </w:r>
          </w:p>
          <w:p>
            <w:pPr>
              <w:spacing w:line="360" w:lineRule="auto"/>
              <w:ind w:firstLine="420" w:firstLineChars="200"/>
              <w:rPr>
                <w:rFonts w:ascii="宋体" w:hAnsi="宋体" w:cs="宋体"/>
                <w:sz w:val="21"/>
                <w:szCs w:val="21"/>
              </w:rPr>
            </w:pPr>
            <w:r>
              <w:rPr>
                <w:rFonts w:hint="eastAsia" w:ascii="宋体" w:hAnsi="宋体" w:cs="宋体"/>
                <w:sz w:val="21"/>
                <w:szCs w:val="21"/>
              </w:rPr>
              <w:t>为销售服务过程提供了适宜的设备及环境，配备了胜任的人员。</w:t>
            </w:r>
          </w:p>
          <w:p>
            <w:pPr>
              <w:spacing w:line="360" w:lineRule="auto"/>
              <w:rPr>
                <w:rFonts w:ascii="宋体" w:hAnsi="宋体"/>
                <w:b/>
                <w:sz w:val="21"/>
                <w:szCs w:val="21"/>
              </w:rPr>
            </w:pPr>
            <w:r>
              <w:rPr>
                <w:rFonts w:hint="eastAsia" w:ascii="宋体" w:hAnsi="宋体" w:cs="宋体"/>
                <w:sz w:val="21"/>
                <w:szCs w:val="21"/>
              </w:rPr>
              <w:t>对供方进行调查评价。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执行的法律法规和标准规范：</w:t>
            </w:r>
            <w:r>
              <w:rPr>
                <w:rFonts w:hint="eastAsia" w:ascii="宋体" w:hAnsi="宋体" w:eastAsia="宋体" w:cs="宋体"/>
                <w:sz w:val="21"/>
                <w:szCs w:val="21"/>
              </w:rPr>
              <w:tab/>
            </w:r>
            <w:r>
              <w:rPr>
                <w:rFonts w:hint="eastAsia" w:ascii="宋体" w:hAnsi="宋体" w:eastAsia="宋体" w:cs="宋体"/>
                <w:sz w:val="21"/>
                <w:szCs w:val="21"/>
              </w:rPr>
              <w:t>GB19272-2011</w:t>
            </w:r>
            <w:r>
              <w:rPr>
                <w:rFonts w:hint="eastAsia" w:ascii="宋体" w:hAnsi="宋体" w:eastAsia="宋体" w:cs="宋体"/>
                <w:sz w:val="21"/>
                <w:szCs w:val="21"/>
                <w:lang w:eastAsia="zh-CN"/>
              </w:rPr>
              <w:t>《</w:t>
            </w:r>
            <w:r>
              <w:rPr>
                <w:rFonts w:hint="eastAsia" w:ascii="宋体" w:hAnsi="宋体" w:eastAsia="宋体" w:cs="宋体"/>
                <w:sz w:val="21"/>
                <w:szCs w:val="21"/>
              </w:rPr>
              <w:t>室外健身器材的安全  通用要求</w:t>
            </w:r>
            <w:r>
              <w:rPr>
                <w:rFonts w:hint="eastAsia" w:ascii="宋体" w:hAnsi="宋体" w:eastAsia="宋体" w:cs="宋体"/>
                <w:sz w:val="21"/>
                <w:szCs w:val="21"/>
                <w:lang w:eastAsia="zh-CN"/>
              </w:rPr>
              <w:t>》、</w:t>
            </w:r>
            <w:r>
              <w:rPr>
                <w:rFonts w:hint="eastAsia" w:ascii="宋体" w:hAnsi="宋体" w:eastAsia="宋体" w:cs="宋体"/>
                <w:sz w:val="21"/>
                <w:szCs w:val="21"/>
              </w:rPr>
              <w:t>GB17498.1-2008</w:t>
            </w:r>
            <w:r>
              <w:rPr>
                <w:rFonts w:hint="eastAsia" w:ascii="宋体" w:hAnsi="宋体" w:eastAsia="宋体" w:cs="宋体"/>
                <w:sz w:val="21"/>
                <w:szCs w:val="21"/>
                <w:lang w:eastAsia="zh-CN"/>
              </w:rPr>
              <w:t>《</w:t>
            </w:r>
            <w:r>
              <w:rPr>
                <w:rFonts w:hint="eastAsia" w:ascii="宋体" w:hAnsi="宋体" w:eastAsia="宋体" w:cs="宋体"/>
                <w:sz w:val="21"/>
                <w:szCs w:val="21"/>
              </w:rPr>
              <w:t>固定式健身器材 第1部分 通用安全要求和试验方法</w:t>
            </w:r>
            <w:r>
              <w:rPr>
                <w:rFonts w:hint="eastAsia" w:ascii="宋体" w:hAnsi="宋体" w:eastAsia="宋体" w:cs="宋体"/>
                <w:sz w:val="21"/>
                <w:szCs w:val="21"/>
                <w:lang w:eastAsia="zh-CN"/>
              </w:rPr>
              <w:t>》、</w:t>
            </w:r>
            <w:r>
              <w:rPr>
                <w:rFonts w:hint="eastAsia" w:ascii="宋体" w:hAnsi="宋体" w:eastAsia="宋体" w:cs="宋体"/>
                <w:sz w:val="21"/>
                <w:szCs w:val="21"/>
              </w:rPr>
              <w:t>GB21749-2008</w:t>
            </w:r>
            <w:r>
              <w:rPr>
                <w:rFonts w:hint="eastAsia" w:ascii="宋体" w:hAnsi="宋体" w:eastAsia="宋体" w:cs="宋体"/>
                <w:sz w:val="21"/>
                <w:szCs w:val="21"/>
                <w:lang w:eastAsia="zh-CN"/>
              </w:rPr>
              <w:t>《</w:t>
            </w:r>
            <w:r>
              <w:rPr>
                <w:rFonts w:hint="eastAsia" w:ascii="宋体" w:hAnsi="宋体" w:eastAsia="宋体" w:cs="宋体"/>
                <w:sz w:val="21"/>
                <w:szCs w:val="21"/>
              </w:rPr>
              <w:t>教学仪器设备安全要求  玻璃仪器及连接部件</w:t>
            </w:r>
            <w:r>
              <w:rPr>
                <w:rFonts w:hint="eastAsia" w:ascii="宋体" w:hAnsi="宋体" w:eastAsia="宋体" w:cs="宋体"/>
                <w:sz w:val="21"/>
                <w:szCs w:val="21"/>
                <w:lang w:eastAsia="zh-CN"/>
              </w:rPr>
              <w:t>》、</w:t>
            </w:r>
            <w:r>
              <w:rPr>
                <w:rFonts w:hint="eastAsia" w:ascii="宋体" w:hAnsi="宋体" w:eastAsia="宋体" w:cs="宋体"/>
                <w:sz w:val="21"/>
                <w:szCs w:val="21"/>
              </w:rPr>
              <w:t>GB21747-2008</w:t>
            </w:r>
            <w:r>
              <w:rPr>
                <w:rFonts w:hint="eastAsia" w:ascii="宋体" w:hAnsi="宋体" w:eastAsia="宋体" w:cs="宋体"/>
                <w:sz w:val="21"/>
                <w:szCs w:val="21"/>
              </w:rPr>
              <w:tab/>
            </w:r>
            <w:r>
              <w:rPr>
                <w:rFonts w:hint="eastAsia" w:ascii="宋体" w:hAnsi="宋体" w:eastAsia="宋体" w:cs="宋体"/>
                <w:sz w:val="21"/>
                <w:szCs w:val="21"/>
                <w:lang w:eastAsia="zh-CN"/>
              </w:rPr>
              <w:t>《</w:t>
            </w:r>
            <w:r>
              <w:rPr>
                <w:rFonts w:hint="eastAsia" w:ascii="宋体" w:hAnsi="宋体" w:eastAsia="宋体" w:cs="宋体"/>
                <w:sz w:val="21"/>
                <w:szCs w:val="21"/>
              </w:rPr>
              <w:t>教学实验室设备  实验（桌）的安全要求及实验方法</w:t>
            </w:r>
            <w:r>
              <w:rPr>
                <w:rFonts w:hint="eastAsia" w:ascii="宋体" w:hAnsi="宋体" w:eastAsia="宋体" w:cs="宋体"/>
                <w:sz w:val="21"/>
                <w:szCs w:val="21"/>
                <w:lang w:eastAsia="zh-CN"/>
              </w:rPr>
              <w:t>》、</w:t>
            </w:r>
            <w:r>
              <w:rPr>
                <w:rFonts w:hint="eastAsia" w:ascii="宋体" w:hAnsi="宋体" w:eastAsia="宋体" w:cs="宋体"/>
                <w:sz w:val="21"/>
                <w:szCs w:val="21"/>
              </w:rPr>
              <w:t>GB21746-2008</w:t>
            </w:r>
            <w:r>
              <w:rPr>
                <w:rFonts w:hint="eastAsia" w:ascii="宋体" w:hAnsi="宋体" w:eastAsia="宋体" w:cs="宋体"/>
                <w:sz w:val="21"/>
                <w:szCs w:val="21"/>
                <w:lang w:eastAsia="zh-CN"/>
              </w:rPr>
              <w:t>《</w:t>
            </w:r>
            <w:r>
              <w:rPr>
                <w:rFonts w:hint="eastAsia" w:ascii="宋体" w:hAnsi="宋体" w:eastAsia="宋体" w:cs="宋体"/>
                <w:sz w:val="21"/>
                <w:szCs w:val="21"/>
              </w:rPr>
              <w:t>教学仪器设备安全要求  总则</w:t>
            </w:r>
            <w:r>
              <w:rPr>
                <w:rFonts w:hint="eastAsia" w:ascii="宋体" w:hAnsi="宋体" w:eastAsia="宋体" w:cs="宋体"/>
                <w:sz w:val="21"/>
                <w:szCs w:val="21"/>
                <w:lang w:eastAsia="zh-CN"/>
              </w:rPr>
              <w:t>》、</w:t>
            </w:r>
            <w:r>
              <w:rPr>
                <w:rFonts w:hint="eastAsia" w:ascii="宋体" w:hAnsi="宋体" w:eastAsia="宋体" w:cs="宋体"/>
                <w:sz w:val="21"/>
                <w:szCs w:val="21"/>
              </w:rPr>
              <w:t>GB21748-2008</w:t>
            </w:r>
            <w:r>
              <w:rPr>
                <w:rFonts w:hint="eastAsia" w:ascii="宋体" w:hAnsi="宋体" w:eastAsia="宋体" w:cs="宋体"/>
                <w:sz w:val="21"/>
                <w:szCs w:val="21"/>
                <w:lang w:eastAsia="zh-CN"/>
              </w:rPr>
              <w:t>《</w:t>
            </w:r>
            <w:r>
              <w:rPr>
                <w:rFonts w:hint="eastAsia" w:ascii="宋体" w:hAnsi="宋体" w:eastAsia="宋体" w:cs="宋体"/>
                <w:sz w:val="21"/>
                <w:szCs w:val="21"/>
              </w:rPr>
              <w:t>教学仪器设备安全要求  仪器和零部件的基本要求</w:t>
            </w:r>
            <w:r>
              <w:rPr>
                <w:rFonts w:hint="eastAsia" w:ascii="宋体" w:hAnsi="宋体" w:eastAsia="宋体" w:cs="宋体"/>
                <w:sz w:val="21"/>
                <w:szCs w:val="21"/>
                <w:lang w:eastAsia="zh-CN"/>
              </w:rPr>
              <w:t>》</w:t>
            </w:r>
          </w:p>
          <w:p>
            <w:pPr>
              <w:spacing w:line="360" w:lineRule="auto"/>
              <w:ind w:firstLine="210" w:firstLineChars="100"/>
              <w:rPr>
                <w:rFonts w:hint="eastAsia" w:ascii="宋体" w:hAnsi="宋体" w:eastAsia="宋体" w:cs="宋体"/>
                <w:b w:val="0"/>
                <w:bCs/>
                <w:sz w:val="21"/>
                <w:szCs w:val="21"/>
              </w:rPr>
            </w:pPr>
            <w:r>
              <w:rPr>
                <w:rFonts w:hint="eastAsia" w:ascii="宋体" w:hAnsi="宋体" w:eastAsia="宋体" w:cs="宋体"/>
                <w:sz w:val="21"/>
                <w:szCs w:val="21"/>
              </w:rPr>
              <w:t>GB19272-2011</w:t>
            </w:r>
            <w:r>
              <w:rPr>
                <w:rFonts w:hint="eastAsia" w:ascii="宋体" w:hAnsi="宋体" w:eastAsia="宋体" w:cs="宋体"/>
                <w:sz w:val="21"/>
                <w:szCs w:val="21"/>
                <w:lang w:eastAsia="zh-CN"/>
              </w:rPr>
              <w:t>《</w:t>
            </w:r>
            <w:r>
              <w:rPr>
                <w:rFonts w:hint="eastAsia" w:ascii="宋体" w:hAnsi="宋体" w:eastAsia="宋体" w:cs="宋体"/>
                <w:sz w:val="21"/>
                <w:szCs w:val="21"/>
              </w:rPr>
              <w:t>室外健身器材的安全通用要求</w:t>
            </w:r>
            <w:r>
              <w:rPr>
                <w:rFonts w:hint="eastAsia" w:ascii="宋体" w:hAnsi="宋体" w:eastAsia="宋体" w:cs="宋体"/>
                <w:sz w:val="21"/>
                <w:szCs w:val="21"/>
                <w:lang w:eastAsia="zh-CN"/>
              </w:rPr>
              <w:t>》</w:t>
            </w:r>
            <w:r>
              <w:rPr>
                <w:rFonts w:hint="eastAsia" w:ascii="宋体" w:hAnsi="宋体" w:eastAsia="宋体" w:cs="宋体"/>
                <w:sz w:val="21"/>
                <w:szCs w:val="21"/>
              </w:rPr>
              <w:t>等。</w:t>
            </w:r>
            <w:r>
              <w:rPr>
                <w:rFonts w:hint="eastAsia" w:ascii="宋体" w:hAnsi="宋体" w:eastAsia="宋体" w:cs="宋体"/>
                <w:b w:val="0"/>
                <w:bCs/>
                <w:sz w:val="21"/>
                <w:szCs w:val="21"/>
              </w:rPr>
              <w:t>能稳定向顾客提供较满意的销售服务。对顾客进行满意度调查，并进行了简要分析。</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0" w:firstLineChars="100"/>
              <w:rPr>
                <w:rFonts w:ascii="宋体" w:hAnsi="宋体"/>
                <w:b/>
                <w:sz w:val="21"/>
                <w:szCs w:val="21"/>
              </w:rPr>
            </w:pPr>
            <w:r>
              <w:rPr>
                <w:rFonts w:hint="eastAsia" w:ascii="宋体" w:hAnsi="宋体"/>
                <w:sz w:val="21"/>
                <w:szCs w:val="21"/>
                <w:u w:val="single"/>
              </w:rPr>
              <w:t>无</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numPr>
                <w:ilvl w:val="0"/>
                <w:numId w:val="0"/>
              </w:numPr>
              <w:spacing w:line="360" w:lineRule="auto"/>
              <w:ind w:leftChars="0" w:firstLine="420" w:firstLineChars="200"/>
              <w:rPr>
                <w:rFonts w:ascii="宋体" w:hAnsi="宋体"/>
                <w:b/>
                <w:sz w:val="21"/>
                <w:szCs w:val="21"/>
              </w:rPr>
            </w:pPr>
            <w:r>
              <w:rPr>
                <w:rFonts w:hint="eastAsia" w:ascii="宋体" w:hAnsi="宋体" w:cs="宋体"/>
                <w:sz w:val="21"/>
                <w:szCs w:val="21"/>
              </w:rPr>
              <w:t>提供的《不合格品控制程序》中规定了对不合格品的标识、记录、隔离、记录和处置的控制要求。采购检验中发现的不合格，要求做好相应的标识，并及时通知采购人员作退/换货处理。</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1、废水管控：企业无工业废水，厂区生活废水流入市政管网。</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2、废气管控：无废气排放。</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3、噪声管控：无噪声排放。</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4、固废管控：办公废旧硒鼓/墨盒，由供应商回收。生活垃圾由当地环卫所处理，公司缴纳处理费。</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能源资源管控：注意节水、节电，人走关闭设备和照明开关，现场未发现有漏水和浪费电能的现象。</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pPr>
              <w:spacing w:line="240" w:lineRule="exact"/>
              <w:rPr>
                <w:rFonts w:ascii="宋体" w:hAnsi="宋体"/>
                <w:b/>
                <w:sz w:val="21"/>
                <w:szCs w:val="21"/>
              </w:rPr>
            </w:pPr>
            <w:r>
              <w:rPr>
                <w:rFonts w:hint="eastAsia" w:ascii="宋体" w:hAnsi="宋体" w:eastAsia="宋体" w:cs="宋体"/>
                <w:sz w:val="21"/>
                <w:szCs w:val="21"/>
              </w:rPr>
              <w:t>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360" w:lineRule="auto"/>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numId w:val="0"/>
              </w:numPr>
              <w:spacing w:line="360" w:lineRule="auto"/>
              <w:rPr>
                <w:rFonts w:hint="eastAsia" w:ascii="宋体" w:hAnsi="宋体"/>
                <w:b w:val="0"/>
                <w:bCs/>
                <w:sz w:val="21"/>
                <w:szCs w:val="21"/>
              </w:rPr>
            </w:pPr>
            <w:r>
              <w:rPr>
                <w:rFonts w:hint="eastAsia" w:ascii="宋体" w:hAnsi="宋体"/>
                <w:b w:val="0"/>
                <w:bCs/>
                <w:sz w:val="21"/>
                <w:szCs w:val="21"/>
              </w:rPr>
              <w:t>1、潜在火灾管控：配备灭火器。</w:t>
            </w:r>
          </w:p>
          <w:p>
            <w:pPr>
              <w:spacing w:line="360" w:lineRule="auto"/>
              <w:rPr>
                <w:rFonts w:hint="eastAsia" w:ascii="宋体" w:hAnsi="宋体"/>
                <w:b w:val="0"/>
                <w:bCs/>
                <w:sz w:val="21"/>
                <w:szCs w:val="21"/>
              </w:rPr>
            </w:pPr>
            <w:r>
              <w:rPr>
                <w:rFonts w:hint="eastAsia" w:ascii="宋体" w:hAnsi="宋体"/>
                <w:b w:val="0"/>
                <w:bCs/>
                <w:sz w:val="21"/>
                <w:szCs w:val="21"/>
              </w:rPr>
              <w:t>2、安全防护：公司给员工发放手套、口罩、工作服等劳保用品，现场电线布线合理，漏电保护器状态良好。</w:t>
            </w:r>
          </w:p>
          <w:p>
            <w:pPr>
              <w:spacing w:line="360" w:lineRule="auto"/>
              <w:rPr>
                <w:rFonts w:hint="eastAsia" w:ascii="宋体" w:hAnsi="宋体"/>
                <w:b w:val="0"/>
                <w:bCs/>
                <w:sz w:val="21"/>
                <w:szCs w:val="21"/>
              </w:rPr>
            </w:pPr>
            <w:r>
              <w:rPr>
                <w:rFonts w:hint="eastAsia" w:ascii="宋体" w:hAnsi="宋体"/>
                <w:b w:val="0"/>
                <w:bCs/>
                <w:sz w:val="21"/>
                <w:szCs w:val="21"/>
              </w:rPr>
              <w:t>3、为主要长期员工上社保、工伤保险。</w:t>
            </w:r>
          </w:p>
          <w:p>
            <w:pPr>
              <w:spacing w:line="360" w:lineRule="auto"/>
              <w:rPr>
                <w:rFonts w:hint="eastAsia" w:ascii="宋体" w:hAnsi="宋体"/>
                <w:b w:val="0"/>
                <w:bCs/>
                <w:sz w:val="21"/>
                <w:szCs w:val="21"/>
              </w:rPr>
            </w:pPr>
            <w:r>
              <w:rPr>
                <w:rFonts w:hint="eastAsia" w:ascii="宋体" w:hAnsi="宋体"/>
                <w:b w:val="0"/>
                <w:bCs/>
                <w:sz w:val="21"/>
                <w:szCs w:val="21"/>
              </w:rPr>
              <w:t>4、为环境和职业健康安全管理体系运行提供了财务支持。</w:t>
            </w:r>
          </w:p>
          <w:p>
            <w:pPr>
              <w:spacing w:line="360" w:lineRule="auto"/>
              <w:rPr>
                <w:rFonts w:ascii="宋体" w:hAnsi="宋体"/>
                <w:b/>
                <w:sz w:val="21"/>
                <w:szCs w:val="21"/>
              </w:rPr>
            </w:pPr>
            <w:r>
              <w:rPr>
                <w:rFonts w:hint="eastAsia" w:ascii="宋体" w:hAnsi="宋体"/>
                <w:b w:val="0"/>
                <w:bCs/>
                <w:sz w:val="21"/>
                <w:szCs w:val="21"/>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ind w:firstLine="420" w:firstLineChars="200"/>
              <w:rPr>
                <w:rFonts w:ascii="宋体" w:hAnsi="宋体"/>
                <w:b/>
                <w:sz w:val="21"/>
                <w:szCs w:val="21"/>
              </w:rPr>
            </w:pPr>
            <w:r>
              <w:rPr>
                <w:rFonts w:hint="eastAsia" w:ascii="宋体" w:hAnsi="宋体"/>
                <w:b w:val="0"/>
                <w:bCs/>
                <w:sz w:val="21"/>
                <w:szCs w:val="21"/>
              </w:rPr>
              <w:t>公司确定的紧急情况有：火灾、触电、人身伤害等。提供了应急预案，其中包括目的、适用范围、职责、应急处理细则、演习、必备资料等，相关内容基本充分。2019.11.27日进行了消防演练，应急预案适宜。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ascii="宋体" w:hAnsi="宋体"/>
                <w:b/>
                <w:sz w:val="21"/>
                <w:szCs w:val="21"/>
              </w:rPr>
            </w:pPr>
            <w:r>
              <w:rPr>
                <w:rFonts w:hint="eastAsia" w:ascii="宋体" w:hAnsi="宋体"/>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ind w:firstLine="420" w:firstLineChars="200"/>
              <w:rPr>
                <w:rFonts w:ascii="宋体" w:hAnsi="宋体"/>
                <w:b/>
                <w:sz w:val="21"/>
                <w:szCs w:val="21"/>
              </w:rPr>
            </w:pPr>
            <w:r>
              <w:rPr>
                <w:rFonts w:hint="eastAsia" w:ascii="宋体" w:hAnsi="宋体"/>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20" w:firstLineChars="50"/>
              <w:rPr>
                <w:rFonts w:ascii="宋体" w:hAnsi="宋体"/>
                <w:b/>
                <w:sz w:val="21"/>
                <w:szCs w:val="21"/>
              </w:rPr>
            </w:pPr>
            <w:r>
              <w:rPr>
                <w:rFonts w:hint="eastAsia" w:ascii="宋体" w:hAnsi="宋体" w:cs="宋体"/>
                <w:color w:val="0000FF"/>
                <w:szCs w:val="21"/>
              </w:rPr>
              <w:t>2</w:t>
            </w:r>
            <w:r>
              <w:rPr>
                <w:rFonts w:ascii="宋体" w:hAnsi="宋体" w:cs="宋体"/>
                <w:color w:val="0000FF"/>
                <w:szCs w:val="21"/>
              </w:rPr>
              <w:t>020.3.31</w:t>
            </w:r>
            <w:r>
              <w:rPr>
                <w:rFonts w:hint="eastAsia" w:ascii="宋体" w:hAnsi="宋体" w:cs="宋体"/>
                <w:color w:val="0000FF"/>
                <w:szCs w:val="21"/>
                <w:lang w:eastAsia="zh-CN"/>
              </w:rPr>
              <w:t>，</w:t>
            </w:r>
            <w:r>
              <w:rPr>
                <w:rFonts w:hint="eastAsia" w:ascii="宋体" w:hAnsi="宋体"/>
                <w:b w:val="0"/>
                <w:bCs/>
                <w:sz w:val="21"/>
                <w:szCs w:val="21"/>
              </w:rPr>
              <w:t>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360" w:lineRule="auto"/>
              <w:ind w:left="105" w:hanging="105" w:hangingChars="50"/>
              <w:rPr>
                <w:rFonts w:hint="eastAsia" w:ascii="宋体" w:hAnsi="宋体"/>
                <w:b/>
                <w:color w:val="0000FF"/>
                <w:sz w:val="21"/>
                <w:szCs w:val="21"/>
              </w:rPr>
            </w:pPr>
            <w:r>
              <w:rPr>
                <w:rFonts w:hint="eastAsia" w:ascii="宋体" w:hAnsi="宋体"/>
                <w:b/>
                <w:color w:val="0000FF"/>
                <w:sz w:val="21"/>
                <w:szCs w:val="21"/>
              </w:rPr>
              <w:t>顾客满意</w:t>
            </w:r>
          </w:p>
          <w:p>
            <w:pPr>
              <w:numPr>
                <w:numId w:val="0"/>
              </w:numPr>
              <w:spacing w:line="360" w:lineRule="auto"/>
              <w:ind w:leftChars="-50"/>
              <w:rPr>
                <w:rFonts w:ascii="宋体" w:hAnsi="宋体"/>
                <w:b/>
                <w:sz w:val="21"/>
                <w:szCs w:val="21"/>
              </w:rPr>
            </w:pPr>
            <w:r>
              <w:rPr>
                <w:rFonts w:hint="eastAsia" w:ascii="宋体" w:hAnsi="宋体"/>
                <w:b w:val="0"/>
                <w:bCs/>
                <w:color w:val="0000FF"/>
                <w:sz w:val="21"/>
                <w:szCs w:val="21"/>
              </w:rPr>
              <w:t>2019.9-2020年4月进行了满意度调查，调查内容：产品质量、服务水平、售后服务、价格等，调查结果平均满意率97%。不满意主要为售价偏高，公司将通过提高管理水平降低售价，提高顾客满意度，实施中。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ind w:firstLine="420" w:firstLineChars="200"/>
              <w:rPr>
                <w:rFonts w:hint="eastAsia" w:ascii="宋体" w:hAnsi="宋体" w:eastAsia="宋体" w:cs="宋体"/>
                <w:b/>
                <w:color w:val="000000"/>
                <w:sz w:val="21"/>
                <w:szCs w:val="21"/>
                <w:u w:val="none"/>
              </w:rPr>
            </w:pPr>
            <w:r>
              <w:rPr>
                <w:rFonts w:hint="eastAsia" w:ascii="宋体" w:hAnsi="宋体" w:eastAsia="宋体" w:cs="宋体"/>
                <w:sz w:val="21"/>
                <w:szCs w:val="21"/>
                <w:u w:val="none"/>
              </w:rPr>
              <w:t>每年一次，本</w:t>
            </w:r>
            <w:r>
              <w:rPr>
                <w:rFonts w:hint="eastAsia" w:ascii="宋体" w:hAnsi="宋体" w:eastAsia="宋体" w:cs="宋体"/>
                <w:color w:val="0000FF"/>
                <w:sz w:val="21"/>
                <w:szCs w:val="21"/>
                <w:u w:val="none"/>
              </w:rPr>
              <w:t>次2020年1月8日内审。</w:t>
            </w:r>
          </w:p>
          <w:p>
            <w:pPr>
              <w:spacing w:line="360" w:lineRule="auto"/>
              <w:rPr>
                <w:rFonts w:hint="eastAsia" w:ascii="宋体" w:hAnsi="宋体" w:eastAsia="宋体" w:cs="宋体"/>
                <w:b/>
                <w:color w:val="000000"/>
                <w:sz w:val="21"/>
                <w:szCs w:val="21"/>
                <w:u w:val="none"/>
              </w:rPr>
            </w:pPr>
            <w:r>
              <w:rPr>
                <w:rFonts w:hint="eastAsia" w:ascii="宋体" w:hAnsi="宋体" w:eastAsia="宋体" w:cs="宋体"/>
                <w:b/>
                <w:color w:val="000000"/>
                <w:sz w:val="21"/>
                <w:szCs w:val="21"/>
                <w:u w:val="none"/>
              </w:rPr>
              <w:t xml:space="preserve">了解内审是否覆盖了管理体系范围内的活动及标准的要求; </w:t>
            </w:r>
          </w:p>
          <w:p>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覆盖。</w:t>
            </w:r>
          </w:p>
          <w:p>
            <w:pPr>
              <w:spacing w:line="360" w:lineRule="auto"/>
              <w:rPr>
                <w:rFonts w:hint="eastAsia" w:ascii="宋体" w:hAnsi="宋体" w:eastAsia="宋体" w:cs="宋体"/>
                <w:b/>
                <w:color w:val="000000"/>
                <w:sz w:val="21"/>
                <w:szCs w:val="21"/>
                <w:u w:val="none"/>
              </w:rPr>
            </w:pPr>
            <w:r>
              <w:rPr>
                <w:rFonts w:hint="eastAsia" w:ascii="宋体" w:hAnsi="宋体" w:eastAsia="宋体" w:cs="宋体"/>
                <w:b/>
                <w:color w:val="000000"/>
                <w:sz w:val="21"/>
                <w:szCs w:val="21"/>
                <w:u w:val="none"/>
              </w:rPr>
              <w:t>了解内审结论是什么？</w:t>
            </w:r>
          </w:p>
          <w:p>
            <w:pPr>
              <w:spacing w:line="360" w:lineRule="auto"/>
              <w:rPr>
                <w:rFonts w:ascii="宋体" w:hAnsi="宋体"/>
                <w:b/>
                <w:sz w:val="21"/>
                <w:szCs w:val="21"/>
              </w:rPr>
            </w:pPr>
            <w:r>
              <w:rPr>
                <w:rFonts w:hint="eastAsia" w:ascii="宋体" w:hAnsi="宋体" w:eastAsia="宋体" w:cs="宋体"/>
                <w:sz w:val="21"/>
                <w:szCs w:val="21"/>
                <w:u w:val="none"/>
              </w:rPr>
              <w:t>管理体系建立、实施基本符合标准要求和管理体系文件要求。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ind w:firstLine="210" w:firstLineChars="100"/>
              <w:rPr>
                <w:rFonts w:hint="eastAsia" w:ascii="宋体" w:hAnsi="宋体" w:eastAsia="宋体" w:cs="宋体"/>
                <w:b/>
                <w:color w:val="000000"/>
                <w:sz w:val="21"/>
                <w:szCs w:val="21"/>
                <w:u w:val="none"/>
              </w:rPr>
            </w:pPr>
            <w:r>
              <w:rPr>
                <w:rFonts w:hint="eastAsia" w:ascii="宋体" w:hAnsi="宋体" w:eastAsia="宋体" w:cs="宋体"/>
                <w:sz w:val="21"/>
                <w:szCs w:val="21"/>
                <w:u w:val="none"/>
              </w:rPr>
              <w:t>每年一次，</w:t>
            </w:r>
            <w:r>
              <w:rPr>
                <w:rFonts w:hint="eastAsia" w:ascii="宋体" w:hAnsi="宋体" w:eastAsia="宋体" w:cs="宋体"/>
                <w:color w:val="0000FF"/>
                <w:sz w:val="21"/>
                <w:szCs w:val="21"/>
                <w:u w:val="none"/>
              </w:rPr>
              <w:t>2020年1月19日管理评审</w:t>
            </w:r>
            <w:r>
              <w:rPr>
                <w:rFonts w:hint="eastAsia" w:ascii="宋体" w:hAnsi="宋体" w:eastAsia="宋体" w:cs="宋体"/>
                <w:sz w:val="21"/>
                <w:szCs w:val="21"/>
                <w:u w:val="none"/>
              </w:rPr>
              <w:t>。</w:t>
            </w:r>
          </w:p>
          <w:p>
            <w:pPr>
              <w:spacing w:line="360" w:lineRule="auto"/>
              <w:rPr>
                <w:rFonts w:hint="eastAsia" w:ascii="宋体" w:hAnsi="宋体" w:eastAsia="宋体" w:cs="宋体"/>
                <w:b/>
                <w:color w:val="000000"/>
                <w:sz w:val="21"/>
                <w:szCs w:val="21"/>
                <w:u w:val="none"/>
              </w:rPr>
            </w:pPr>
            <w:r>
              <w:rPr>
                <w:rFonts w:hint="eastAsia" w:ascii="宋体" w:hAnsi="宋体" w:eastAsia="宋体" w:cs="宋体"/>
                <w:b/>
                <w:color w:val="000000"/>
                <w:sz w:val="21"/>
                <w:szCs w:val="21"/>
                <w:u w:val="none"/>
              </w:rPr>
              <w:t xml:space="preserve">了解管理评审输入是否充分; </w:t>
            </w:r>
          </w:p>
          <w:p>
            <w:pPr>
              <w:spacing w:line="360" w:lineRule="auto"/>
              <w:ind w:firstLine="210" w:firstLineChars="100"/>
              <w:rPr>
                <w:rFonts w:hint="eastAsia" w:ascii="宋体" w:hAnsi="宋体" w:eastAsia="宋体" w:cs="宋体"/>
                <w:sz w:val="21"/>
                <w:szCs w:val="21"/>
                <w:u w:val="none"/>
              </w:rPr>
            </w:pPr>
            <w:r>
              <w:rPr>
                <w:rFonts w:hint="eastAsia" w:ascii="宋体" w:hAnsi="宋体" w:eastAsia="宋体" w:cs="宋体"/>
                <w:sz w:val="21"/>
                <w:szCs w:val="21"/>
                <w:u w:val="none"/>
              </w:rPr>
              <w:t>输入基本充分。</w:t>
            </w:r>
          </w:p>
          <w:p>
            <w:pPr>
              <w:spacing w:line="360" w:lineRule="auto"/>
              <w:rPr>
                <w:rFonts w:hint="eastAsia" w:ascii="宋体" w:hAnsi="宋体" w:eastAsia="宋体" w:cs="宋体"/>
                <w:b/>
                <w:color w:val="000000"/>
                <w:sz w:val="21"/>
                <w:szCs w:val="21"/>
                <w:u w:val="none"/>
              </w:rPr>
            </w:pPr>
            <w:r>
              <w:rPr>
                <w:rFonts w:hint="eastAsia" w:ascii="宋体" w:hAnsi="宋体" w:eastAsia="宋体" w:cs="宋体"/>
                <w:b/>
                <w:color w:val="000000"/>
                <w:sz w:val="21"/>
                <w:szCs w:val="21"/>
                <w:u w:val="none"/>
              </w:rPr>
              <w:t xml:space="preserve">了解管理评审结论; </w:t>
            </w:r>
          </w:p>
          <w:p>
            <w:pPr>
              <w:spacing w:line="360" w:lineRule="auto"/>
              <w:rPr>
                <w:rFonts w:ascii="宋体" w:hAnsi="宋体"/>
                <w:b/>
                <w:sz w:val="21"/>
                <w:szCs w:val="21"/>
              </w:rPr>
            </w:pPr>
            <w:r>
              <w:rPr>
                <w:rFonts w:hint="eastAsia" w:ascii="宋体" w:hAnsi="宋体" w:eastAsia="宋体" w:cs="宋体"/>
                <w:sz w:val="21"/>
                <w:szCs w:val="21"/>
                <w:u w:val="none"/>
              </w:rPr>
              <w:t>　公司的管理体系是适宜的、充分的和有效的。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360" w:lineRule="auto"/>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numId w:val="0"/>
              </w:numPr>
              <w:spacing w:line="360" w:lineRule="auto"/>
              <w:rPr>
                <w:rFonts w:ascii="宋体" w:hAnsi="宋体"/>
                <w:b/>
                <w:sz w:val="21"/>
                <w:szCs w:val="21"/>
              </w:rPr>
            </w:pPr>
            <w:r>
              <w:rPr>
                <w:rFonts w:hint="eastAsia" w:ascii="宋体" w:hAnsi="宋体"/>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rPr>
                <w:rFonts w:ascii="宋体" w:hAnsi="宋体"/>
                <w:b/>
                <w:sz w:val="21"/>
                <w:szCs w:val="21"/>
              </w:rPr>
            </w:pPr>
            <w:r>
              <w:rPr>
                <w:rFonts w:hint="eastAsia" w:ascii="宋体" w:hAnsi="宋体"/>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60" w:lineRule="auto"/>
              <w:rPr>
                <w:rFonts w:ascii="宋体" w:hAnsi="宋体"/>
                <w:b/>
                <w:sz w:val="21"/>
                <w:szCs w:val="21"/>
              </w:rPr>
            </w:pPr>
            <w:r>
              <w:rPr>
                <w:rFonts w:hint="eastAsia" w:ascii="宋体" w:hAnsi="宋体"/>
                <w:sz w:val="21"/>
                <w:szCs w:val="21"/>
                <w:u w:val="single"/>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360" w:lineRule="auto"/>
              <w:rPr>
                <w:rFonts w:ascii="宋体" w:hAnsi="宋体"/>
                <w:b/>
                <w:sz w:val="21"/>
                <w:szCs w:val="21"/>
              </w:rPr>
            </w:pPr>
            <w:r>
              <w:rPr>
                <w:rFonts w:hint="eastAsia" w:ascii="宋体" w:hAnsi="宋体"/>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3"/>
              </w:numPr>
              <w:spacing w:line="360" w:lineRule="auto"/>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numId w:val="0"/>
              </w:numPr>
              <w:spacing w:line="360" w:lineRule="auto"/>
              <w:ind w:leftChars="0"/>
              <w:rPr>
                <w:rFonts w:ascii="宋体" w:hAnsi="宋体"/>
                <w:b/>
                <w:sz w:val="21"/>
                <w:szCs w:val="21"/>
              </w:rPr>
            </w:pPr>
            <w:r>
              <w:rPr>
                <w:rFonts w:hint="eastAsia" w:ascii="宋体" w:hAnsi="宋体"/>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eastAsia="宋体" w:cs="Times New Roman"/>
                <w:sz w:val="21"/>
                <w:szCs w:val="21"/>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numId w:val="0"/>
              </w:numPr>
              <w:spacing w:line="240" w:lineRule="exact"/>
              <w:ind w:leftChars="-50"/>
              <w:rPr>
                <w:rFonts w:hint="eastAsia" w:ascii="宋体" w:hAnsi="宋体"/>
                <w:b/>
                <w:sz w:val="21"/>
                <w:szCs w:val="21"/>
                <w:lang w:val="en-US" w:eastAsia="zh-CN"/>
              </w:rPr>
            </w:pPr>
          </w:p>
          <w:p>
            <w:pPr>
              <w:numPr>
                <w:numId w:val="0"/>
              </w:numPr>
              <w:spacing w:line="240" w:lineRule="exact"/>
              <w:ind w:leftChars="-50" w:firstLine="210" w:firstLineChars="100"/>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numId w:val="0"/>
              </w:numPr>
              <w:spacing w:line="240" w:lineRule="exact"/>
              <w:ind w:leftChars="-50"/>
              <w:rPr>
                <w:rFonts w:hint="eastAsia"/>
                <w:b w:val="0"/>
                <w:bCs/>
                <w:szCs w:val="21"/>
              </w:rPr>
            </w:pPr>
          </w:p>
          <w:p>
            <w:pPr>
              <w:numPr>
                <w:numId w:val="0"/>
              </w:numPr>
              <w:spacing w:line="240" w:lineRule="exact"/>
              <w:ind w:leftChars="-50" w:firstLine="210" w:firstLineChars="100"/>
              <w:rPr>
                <w:rFonts w:ascii="宋体" w:hAnsi="宋体"/>
                <w:b/>
                <w:sz w:val="21"/>
                <w:szCs w:val="21"/>
              </w:rPr>
            </w:pPr>
            <w:r>
              <w:rPr>
                <w:rFonts w:hint="eastAsia" w:ascii="宋体" w:hAnsi="宋体" w:eastAsia="宋体" w:cs="Times New Roman"/>
                <w:b w:val="0"/>
                <w:bCs/>
                <w:sz w:val="21"/>
                <w:szCs w:val="21"/>
              </w:rPr>
              <w:t>验证了上次审核的不符合，已关闭。</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1" w:hRule="atLeast"/>
          <w:jc w:val="center"/>
        </w:trPr>
        <w:tc>
          <w:tcPr>
            <w:tcW w:w="9523" w:type="dxa"/>
            <w:vAlign w:val="center"/>
          </w:tcPr>
          <w:p>
            <w:pPr>
              <w:spacing w:line="360" w:lineRule="auto"/>
              <w:ind w:left="240" w:leftChars="100" w:firstLine="120" w:firstLineChars="50"/>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eastAsia="zh-CN"/>
              </w:rPr>
              <w:t>☑</w:t>
            </w:r>
            <w:r>
              <w:rPr>
                <w:rFonts w:hint="eastAsia" w:ascii="宋体" w:hAnsi="宋体" w:eastAsia="宋体" w:cs="宋体"/>
                <w:b/>
                <w:sz w:val="24"/>
                <w:szCs w:val="24"/>
              </w:rPr>
              <w:t>QMS□50430</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EMS  </w:t>
            </w:r>
            <w:r>
              <w:rPr>
                <w:rFonts w:hint="eastAsia" w:ascii="宋体" w:hAnsi="宋体" w:eastAsia="宋体" w:cs="宋体"/>
                <w:b/>
                <w:sz w:val="24"/>
                <w:szCs w:val="24"/>
                <w:lang w:eastAsia="zh-CN"/>
              </w:rPr>
              <w:t>☑</w:t>
            </w:r>
            <w:r>
              <w:rPr>
                <w:rFonts w:hint="eastAsia" w:ascii="宋体" w:hAnsi="宋体" w:eastAsia="宋体" w:cs="宋体"/>
                <w:b/>
                <w:sz w:val="24"/>
                <w:szCs w:val="24"/>
              </w:rPr>
              <w:t>OHSMS</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的适宜性、充分性、运行有效性，自我完善机制等，管理体系满足适用要求和实现预期结果的能力。</w:t>
            </w:r>
          </w:p>
          <w:p>
            <w:pPr>
              <w:spacing w:line="360" w:lineRule="auto"/>
              <w:ind w:left="331" w:leftChars="88" w:hanging="120" w:hangingChars="50"/>
              <w:rPr>
                <w:rFonts w:hint="eastAsia" w:ascii="宋体" w:hAnsi="宋体" w:eastAsia="宋体" w:cs="宋体"/>
                <w:b/>
                <w:sz w:val="24"/>
                <w:szCs w:val="24"/>
              </w:rPr>
            </w:pPr>
            <w:r>
              <w:rPr>
                <w:rFonts w:hint="eastAsia" w:ascii="宋体" w:hAnsi="宋体" w:eastAsia="宋体" w:cs="宋体"/>
                <w:b/>
                <w:sz w:val="24"/>
                <w:szCs w:val="24"/>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p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rPr>
              <w:t>组织体系运行满足标准要求，既定目标能达成，向顾客提供稳定、合格产品，满足适用的质量/环境、职业健康安全法规要求，防止环境污染和安全事故，对周边环境没有产生不利影响，实施措施基本有效。体系运行基本适宜、充分、有效，基本建立自我完善机制。</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0288" behindDoc="0" locked="0" layoutInCell="1" allowOverlap="1">
            <wp:simplePos x="0" y="0"/>
            <wp:positionH relativeFrom="column">
              <wp:posOffset>1829435</wp:posOffset>
            </wp:positionH>
            <wp:positionV relativeFrom="paragraph">
              <wp:posOffset>297815</wp:posOffset>
            </wp:positionV>
            <wp:extent cx="333375" cy="263525"/>
            <wp:effectExtent l="0" t="0" r="952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33375" cy="26352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rFonts w:hint="eastAsia"/>
          <w:b/>
          <w:sz w:val="21"/>
        </w:rPr>
      </w:pPr>
      <w:bookmarkStart w:id="26" w:name="_GoBack"/>
      <w:bookmarkEnd w:id="26"/>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1822450</wp:posOffset>
            </wp:positionH>
            <wp:positionV relativeFrom="paragraph">
              <wp:posOffset>278765</wp:posOffset>
            </wp:positionV>
            <wp:extent cx="355600" cy="360045"/>
            <wp:effectExtent l="0" t="0" r="0" b="8255"/>
            <wp:wrapNone/>
            <wp:docPr id="103" name="图片 103" descr="15ca14fda995c83afd557b45c5e19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15ca14fda995c83afd557b45c5e19cf"/>
                    <pic:cNvPicPr>
                      <a:picLocks noChangeAspect="1"/>
                    </pic:cNvPicPr>
                  </pic:nvPicPr>
                  <pic:blipFill>
                    <a:blip r:embed="rId7"/>
                    <a:stretch>
                      <a:fillRect/>
                    </a:stretch>
                  </pic:blipFill>
                  <pic:spPr>
                    <a:xfrm>
                      <a:off x="0" y="0"/>
                      <a:ext cx="355600" cy="360045"/>
                    </a:xfrm>
                    <a:prstGeom prst="rect">
                      <a:avLst/>
                    </a:prstGeom>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lang w:eastAsia="zh-CN"/>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1312" behindDoc="0" locked="0" layoutInCell="1" allowOverlap="1">
            <wp:simplePos x="0" y="0"/>
            <wp:positionH relativeFrom="column">
              <wp:posOffset>1276985</wp:posOffset>
            </wp:positionH>
            <wp:positionV relativeFrom="paragraph">
              <wp:posOffset>78740</wp:posOffset>
            </wp:positionV>
            <wp:extent cx="333375" cy="263525"/>
            <wp:effectExtent l="0" t="0" r="9525"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33375" cy="26352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34B44"/>
    <w:multiLevelType w:val="singleLevel"/>
    <w:tmpl w:val="D8B34B44"/>
    <w:lvl w:ilvl="0" w:tentative="0">
      <w:start w:val="5"/>
      <w:numFmt w:val="decimal"/>
      <w:suff w:val="space"/>
      <w:lvlText w:val="%1."/>
      <w:lvlJc w:val="left"/>
    </w:lvl>
  </w:abstractNum>
  <w:abstractNum w:abstractNumId="1">
    <w:nsid w:val="DDEE896B"/>
    <w:multiLevelType w:val="singleLevel"/>
    <w:tmpl w:val="DDEE896B"/>
    <w:lvl w:ilvl="0" w:tentative="0">
      <w:start w:val="2"/>
      <w:numFmt w:val="decimal"/>
      <w:lvlText w:val="%1."/>
      <w:lvlJc w:val="left"/>
      <w:pPr>
        <w:tabs>
          <w:tab w:val="left" w:pos="312"/>
        </w:tabs>
      </w:pPr>
    </w:lvl>
  </w:abstractNum>
  <w:abstractNum w:abstractNumId="2">
    <w:nsid w:val="F4CEED7E"/>
    <w:multiLevelType w:val="singleLevel"/>
    <w:tmpl w:val="F4CEED7E"/>
    <w:lvl w:ilvl="0" w:tentative="0">
      <w:start w:val="8"/>
      <w:numFmt w:val="decimal"/>
      <w:suff w:val="space"/>
      <w:lvlText w:val="%1."/>
      <w:lvlJc w:val="left"/>
    </w:lvl>
  </w:abstractNum>
  <w:abstractNum w:abstractNumId="3">
    <w:nsid w:val="3400FF06"/>
    <w:multiLevelType w:val="singleLevel"/>
    <w:tmpl w:val="3400FF06"/>
    <w:lvl w:ilvl="0" w:tentative="0">
      <w:start w:val="4"/>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112D9F"/>
    <w:rsid w:val="2D2F6763"/>
    <w:rsid w:val="4B776852"/>
    <w:rsid w:val="66073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1"/>
    <w:semiHidden/>
    <w:uiPriority w:val="99"/>
    <w:rPr>
      <w:sz w:val="18"/>
      <w:szCs w:val="18"/>
    </w:rPr>
  </w:style>
  <w:style w:type="paragraph" w:styleId="5">
    <w:name w:val="footer"/>
    <w:basedOn w:val="1"/>
    <w:link w:val="12"/>
    <w:semiHidden/>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character" w:customStyle="1" w:styleId="11">
    <w:name w:val="批注框文本 Char"/>
    <w:link w:val="4"/>
    <w:semiHidden/>
    <w:locked/>
    <w:uiPriority w:val="99"/>
    <w:rPr>
      <w:rFonts w:ascii="Times New Roman" w:hAnsi="Times New Roman" w:eastAsia="宋体" w:cs="Times New Roman"/>
      <w:sz w:val="18"/>
      <w:szCs w:val="18"/>
    </w:rPr>
  </w:style>
  <w:style w:type="character" w:customStyle="1" w:styleId="12">
    <w:name w:val="页脚 Char"/>
    <w:link w:val="5"/>
    <w:semiHidden/>
    <w:locked/>
    <w:uiPriority w:val="99"/>
    <w:rPr>
      <w:rFonts w:ascii="Times New Roman" w:hAnsi="Times New Roman" w:eastAsia="宋体" w:cs="Times New Roman"/>
      <w:sz w:val="18"/>
      <w:szCs w:val="18"/>
    </w:rPr>
  </w:style>
  <w:style w:type="character" w:customStyle="1" w:styleId="13">
    <w:name w:val="页眉 Char"/>
    <w:link w:val="6"/>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李俐</cp:lastModifiedBy>
  <cp:lastPrinted>2019-04-18T08:15:00Z</cp:lastPrinted>
  <dcterms:modified xsi:type="dcterms:W3CDTF">2021-06-03T14:17:47Z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6DA54C67DF7843398852D5B6589A0E7E</vt:lpwstr>
  </property>
</Properties>
</file>