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霸州市三合众鑫家具有限责任公司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Q:23.01.01,23.01.04</w:t>
            </w:r>
          </w:p>
          <w:p>
            <w:pPr>
              <w:spacing w:line="240" w:lineRule="exact"/>
              <w:jc w:val="center"/>
              <w:rPr>
                <w:b/>
                <w:color w:val="000000" w:themeColor="text1"/>
                <w:sz w:val="20"/>
                <w:szCs w:val="20"/>
              </w:rPr>
            </w:pPr>
            <w:r>
              <w:rPr>
                <w:b/>
                <w:color w:val="000000" w:themeColor="text1"/>
                <w:sz w:val="20"/>
                <w:szCs w:val="20"/>
              </w:rPr>
              <w:t>E:23.01.01,23.01.04</w:t>
            </w:r>
          </w:p>
          <w:p>
            <w:pPr>
              <w:spacing w:line="240" w:lineRule="exact"/>
              <w:jc w:val="center"/>
              <w:rPr>
                <w:b/>
                <w:color w:val="000000" w:themeColor="text1"/>
                <w:sz w:val="20"/>
                <w:szCs w:val="20"/>
              </w:rPr>
            </w:pPr>
            <w:r>
              <w:rPr>
                <w:b/>
                <w:color w:val="000000" w:themeColor="text1"/>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霸州市三合众鑫家具有限责任公司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河北省廊坊市霸州市煎茶铺镇南庄头村南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205" w:firstLineChars="600"/>
              <w:rPr>
                <w:rFonts w:ascii="宋体" w:hAnsi="宋体"/>
                <w:b/>
                <w:color w:val="000000" w:themeColor="text1"/>
                <w:sz w:val="20"/>
                <w:szCs w:val="20"/>
              </w:rPr>
            </w:pPr>
            <w:bookmarkStart w:id="9" w:name="办公地址"/>
            <w:r>
              <w:rPr>
                <w:rFonts w:ascii="宋体" w:hAnsi="宋体"/>
                <w:b/>
                <w:color w:val="000000" w:themeColor="text1"/>
                <w:sz w:val="20"/>
                <w:szCs w:val="20"/>
              </w:rPr>
              <w:t>河北省廊坊市霸州市煎茶铺镇南庄头村南</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牛金燕</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15128679955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牛金燕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刘二涛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Q：课桌椅、餐桌椅、上下床、公寓床、文件柜、密集柜、排椅、办公桌、办公柜的生产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E：课桌椅、餐桌椅、上下床、公寓床、文件柜、密集柜、排椅、办公桌、办公柜的生产所涉及场所的相关环境管理活动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O：课桌椅、餐桌椅、上下床、公寓床、文件柜、密集柜、排椅、办公桌、办公柜的生产所涉及场所的相关职业健康安全管理活动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Q：23.01.01;23.01.04</w:t>
            </w:r>
          </w:p>
          <w:p>
            <w:pPr>
              <w:spacing w:line="320" w:lineRule="exact"/>
              <w:rPr>
                <w:rFonts w:ascii="宋体" w:hAnsi="宋体"/>
                <w:b/>
                <w:color w:val="000000" w:themeColor="text1"/>
                <w:sz w:val="20"/>
                <w:szCs w:val="20"/>
              </w:rPr>
            </w:pPr>
            <w:r>
              <w:rPr>
                <w:rFonts w:ascii="宋体" w:hAnsi="宋体"/>
                <w:b/>
                <w:color w:val="000000" w:themeColor="text1"/>
                <w:sz w:val="20"/>
                <w:szCs w:val="20"/>
              </w:rPr>
              <w:t>E：23.01.01;23.01.04</w:t>
            </w:r>
          </w:p>
          <w:p>
            <w:pPr>
              <w:spacing w:line="320" w:lineRule="exact"/>
              <w:rPr>
                <w:rFonts w:ascii="宋体" w:hAnsi="宋体"/>
                <w:b/>
                <w:color w:val="000000" w:themeColor="text1"/>
                <w:sz w:val="20"/>
                <w:szCs w:val="20"/>
              </w:rPr>
            </w:pPr>
            <w:r>
              <w:rPr>
                <w:rFonts w:ascii="宋体" w:hAnsi="宋体"/>
                <w:b/>
                <w:color w:val="000000" w:themeColor="text1"/>
                <w:sz w:val="20"/>
                <w:szCs w:val="20"/>
              </w:rPr>
              <w:t>O：23.01.01;23.01.04</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2020-12-12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业务</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采购销售、客户满意等过程相关等过程及相应质量、环境、职业健康安全管理体系运行过程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质检</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lang w:val="en-US" w:eastAsia="zh-CN"/>
              </w:rPr>
              <w:t>采购验收、生产过程控制、</w:t>
            </w: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val="en-US" w:eastAsia="zh-CN"/>
              </w:rPr>
              <w:t>产品放行</w:t>
            </w:r>
            <w:r>
              <w:rPr>
                <w:rFonts w:hint="eastAsia" w:ascii="宋体" w:hAnsi="宋体"/>
                <w:bCs/>
                <w:color w:val="000000"/>
                <w:spacing w:val="-20"/>
                <w:sz w:val="20"/>
                <w:szCs w:val="20"/>
              </w:rPr>
              <w:t>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生产部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Cs w:val="21"/>
              </w:rPr>
            </w:pPr>
            <w:r>
              <w:rPr>
                <w:rFonts w:hint="eastAsia" w:ascii="宋体" w:hAnsi="宋体"/>
                <w:color w:val="000000"/>
                <w:spacing w:val="-20"/>
                <w:sz w:val="20"/>
                <w:szCs w:val="20"/>
                <w:lang w:val="en-US" w:eastAsia="zh-CN"/>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提供员工社保、体系运行资金</w:t>
            </w:r>
            <w:r>
              <w:rPr>
                <w:rFonts w:hint="eastAsia" w:ascii="宋体" w:hAnsi="宋体"/>
                <w:bCs/>
                <w:color w:val="000000"/>
                <w:spacing w:val="-20"/>
                <w:sz w:val="20"/>
                <w:szCs w:val="20"/>
              </w:rPr>
              <w:t>等过程及相应质量、环境、职业健康安全管理体系运行过程</w:t>
            </w:r>
            <w:r>
              <w:rPr>
                <w:rFonts w:hint="eastAsia" w:ascii="宋体" w:hAnsi="宋体"/>
                <w:bCs/>
                <w:color w:val="000000"/>
                <w:spacing w:val="-20"/>
                <w:sz w:val="20"/>
                <w:szCs w:val="20"/>
                <w:lang w:val="en-US" w:eastAsia="zh-CN"/>
              </w:rPr>
              <w:t>控股、控制</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ascii="宋体" w:hAnsi="宋体"/>
                <w:szCs w:val="21"/>
              </w:rPr>
              <w:t>课桌椅、餐桌椅、上下床、公寓床、文件柜、密集柜、排椅、办公桌、办公柜的生产</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7"/>
              <w:keepNext w:val="0"/>
              <w:keepLines w:val="0"/>
              <w:widowControl/>
              <w:suppressLineNumbers w:val="0"/>
              <w:rPr>
                <w:b/>
                <w:color w:val="000000"/>
                <w:sz w:val="20"/>
                <w:szCs w:val="20"/>
              </w:rPr>
            </w:pPr>
            <w:r>
              <w:rPr>
                <w:rFonts w:hint="eastAsia" w:ascii="宋体" w:hAnsi="宋体" w:eastAsia="宋体" w:cs="宋体"/>
                <w:color w:val="auto"/>
                <w:sz w:val="21"/>
                <w:szCs w:val="21"/>
                <w:lang w:val="en-US" w:eastAsia="zh-CN"/>
              </w:rPr>
              <w:t>金属家具通用技术条件GB/T3325-2017、室内装饰装修材料人造板及其制品中甲醛释放限量GB18580-2017、室内装饰装修材料木家具中有害物质限量GB18584-2001</w:t>
            </w: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rFonts w:hint="eastAsia"/>
          <w:b/>
          <w:color w:val="000000"/>
          <w:spacing w:val="-10"/>
          <w:szCs w:val="21"/>
          <w:lang w:val="en-US" w:eastAsia="zh-CN"/>
        </w:rPr>
        <w:t>2020.12.12</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6</w:t>
      </w:r>
      <w:r>
        <w:rPr>
          <w:rFonts w:hint="eastAsia"/>
          <w:b/>
          <w:color w:val="000000"/>
          <w:spacing w:val="-10"/>
          <w:szCs w:val="21"/>
        </w:rPr>
        <w:t>月</w:t>
      </w:r>
      <w:r>
        <w:rPr>
          <w:rFonts w:hint="eastAsia"/>
          <w:b/>
          <w:color w:val="000000"/>
          <w:spacing w:val="-10"/>
          <w:szCs w:val="21"/>
          <w:lang w:val="en-US" w:eastAsia="zh-CN"/>
        </w:rPr>
        <w:t>5</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31680"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霸州市三合众鑫家具有限责任公司是一家集销售和生产为一体的高新技术企业，公司拥有一支充满活力、敢于创新、技术精湛的队伍。平均年龄不到三十五岁，全部拥有本部或大中专学历，36%以上具备专业技术职称，是一支充满朝气的生力军。我们的优势还在于：可以为客户提供量身订做的服务。一直以来公司以稳定的质量和灵活优质的服务，深受国内外客户的青睐。公司多款产品各项技术指标达到国际先进水平，性能价格比明显优于同类进口产品，已开始全面替代进口。产品在北京、江苏、广东、河南、河北、山东、湖北、福建、甘肃、内蒙古自治区和黑龙江等地得到了广泛的应用，并且部分产品已远销国外。不断进取、不断完善，力求让客户以最优惠的价格获取更优质的产品和更贴心的服务！</w:t>
            </w:r>
            <w:r>
              <w:rPr>
                <w:rFonts w:hint="eastAsia" w:ascii="宋体" w:hAnsi="宋体" w:cs="宋体"/>
                <w:sz w:val="21"/>
                <w:szCs w:val="21"/>
                <w:lang w:val="en-US" w:eastAsia="zh-CN"/>
              </w:rPr>
              <w:t>企业现有人数为25人。</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40" w:lineRule="exact"/>
              <w:ind w:firstLine="420" w:firstLineChars="200"/>
              <w:rPr>
                <w:rFonts w:hint="eastAsia" w:ascii="宋体" w:hAnsi="宋体" w:eastAsia="宋体" w:cs="宋体"/>
                <w:b w:val="0"/>
                <w:bCs/>
                <w:spacing w:val="20"/>
                <w:sz w:val="21"/>
                <w:szCs w:val="21"/>
                <w:lang w:val="en-US" w:eastAsia="zh-CN"/>
              </w:rPr>
            </w:pPr>
            <w:r>
              <w:rPr>
                <w:rFonts w:hint="eastAsia" w:ascii="宋体" w:hAnsi="宋体" w:cs="宋体"/>
                <w:szCs w:val="21"/>
              </w:rPr>
              <w:t>公司的管理方针是：</w:t>
            </w:r>
            <w:r>
              <w:rPr>
                <w:rStyle w:val="12"/>
                <w:rFonts w:hint="eastAsia" w:ascii="宋体" w:hAnsi="宋体" w:eastAsia="宋体" w:cs="宋体"/>
                <w:b w:val="0"/>
                <w:bCs/>
                <w:color w:val="000000"/>
                <w:sz w:val="21"/>
                <w:szCs w:val="21"/>
              </w:rPr>
              <w:t>质量:顾客满意，质量第一。环境:遵守法规，预防污染。安全:遵守法规，安全第一。</w:t>
            </w:r>
          </w:p>
          <w:p>
            <w:pPr>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0" w:firstLineChars="200"/>
              <w:rPr>
                <w:b/>
                <w:color w:val="000000"/>
              </w:rPr>
            </w:pPr>
            <w:r>
              <w:rPr>
                <w:rFonts w:hint="eastAsia" w:ascii="宋体" w:hAnsi="宋体" w:cs="宋体"/>
                <w:szCs w:val="21"/>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制定了《</w:t>
            </w:r>
            <w:r>
              <w:rPr>
                <w:rFonts w:hint="eastAsia" w:ascii="宋体" w:hAnsi="宋体" w:cs="仿宋_GB2312"/>
                <w:kern w:val="0"/>
              </w:rPr>
              <w:t>风险评估管理和应急预案控制程序</w:t>
            </w: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20" w:firstLineChars="200"/>
              <w:rPr>
                <w:rFonts w:ascii="宋体" w:cs="宋体"/>
                <w:szCs w:val="21"/>
              </w:rPr>
            </w:pPr>
            <w:r>
              <w:rPr>
                <w:rFonts w:hint="eastAsia" w:ascii="宋体" w:hAnsi="宋体" w:cs="宋体"/>
                <w:szCs w:val="21"/>
              </w:rPr>
              <w:t>采取措施是：制定并严格执行合同会签制度，各部门主管负责人及总经理审阅同意后才能签署盖章</w:t>
            </w:r>
          </w:p>
          <w:p>
            <w:pPr>
              <w:ind w:firstLine="420" w:firstLineChars="200"/>
              <w:rPr>
                <w:rFonts w:ascii="宋体" w:cs="宋体"/>
                <w:szCs w:val="21"/>
              </w:rPr>
            </w:pPr>
            <w:r>
              <w:rPr>
                <w:rFonts w:hint="eastAsia" w:ascii="宋体" w:hAnsi="宋体" w:cs="宋体"/>
                <w:szCs w:val="21"/>
              </w:rPr>
              <w:t>每月按照合同、协议对账时间及时对账，催款，回款，降低资金风险。</w:t>
            </w:r>
          </w:p>
          <w:p>
            <w:pPr>
              <w:ind w:firstLine="420" w:firstLineChars="200"/>
              <w:rPr>
                <w:rFonts w:ascii="宋体" w:cs="宋体"/>
                <w:szCs w:val="21"/>
              </w:rPr>
            </w:pPr>
            <w:r>
              <w:rPr>
                <w:rFonts w:hint="eastAsia" w:ascii="宋体" w:hAnsi="宋体" w:cs="宋体"/>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rPr>
                <w:rFonts w:ascii="宋体" w:cs="宋体"/>
                <w:szCs w:val="21"/>
              </w:rPr>
            </w:pPr>
            <w:r>
              <w:rPr>
                <w:rFonts w:hint="eastAsia" w:ascii="宋体" w:hAnsi="宋体" w:cs="宋体"/>
                <w:szCs w:val="21"/>
              </w:rPr>
              <w:t>要提前制定好采购计划和拓展采购的渠道，保证供应。</w:t>
            </w:r>
          </w:p>
          <w:p>
            <w:pPr>
              <w:ind w:firstLine="420" w:firstLineChars="200"/>
              <w:rPr>
                <w:rFonts w:ascii="宋体" w:cs="宋体"/>
                <w:szCs w:val="21"/>
              </w:rPr>
            </w:pPr>
            <w:r>
              <w:rPr>
                <w:rFonts w:hint="eastAsia" w:ascii="宋体" w:hAnsi="宋体" w:cs="宋体"/>
                <w:szCs w:val="21"/>
              </w:rPr>
              <w:t>及时获取顾客要求，对供货商进行严格资质评定，有环保要求的产品要求提供检测报告或材质单应急准备与响应控制程序、应急预案</w:t>
            </w:r>
            <w:r>
              <w:rPr>
                <w:rFonts w:ascii="宋体" w:hAnsi="宋体" w:cs="宋体"/>
                <w:szCs w:val="21"/>
              </w:rPr>
              <w:t>/</w:t>
            </w:r>
            <w:r>
              <w:rPr>
                <w:rFonts w:hint="eastAsia" w:ascii="宋体" w:hAnsi="宋体" w:cs="宋体"/>
                <w:szCs w:val="21"/>
              </w:rPr>
              <w:t>制定目标等。</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r>
              <w:rPr>
                <w:rFonts w:hint="eastAsia" w:ascii="宋体" w:hAnsi="宋体" w:cs="宋体"/>
                <w:szCs w:val="21"/>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31680" w:hanging="201" w:hangingChars="100"/>
              <w:rPr>
                <w:rFonts w:hint="eastAsia" w:ascii="宋体" w:hAnsi="宋体"/>
                <w:b w:val="0"/>
                <w:bCs/>
                <w:szCs w:val="21"/>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val="0"/>
                <w:bCs/>
                <w:szCs w:val="21"/>
                <w:u w:val="single"/>
                <w:lang w:val="en-US" w:eastAsia="zh-CN"/>
              </w:rPr>
              <w:t>组装、焊接、喷涂过程。</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val="0"/>
                <w:bCs/>
                <w:szCs w:val="21"/>
                <w:u w:val="single"/>
                <w:lang w:val="en-US" w:eastAsia="zh-CN"/>
              </w:rPr>
              <w:t>焊接、喷涂过程</w:t>
            </w:r>
          </w:p>
          <w:p>
            <w:pPr>
              <w:rPr>
                <w:rFonts w:ascii="宋体"/>
                <w:b/>
                <w:color w:val="000000"/>
                <w:sz w:val="20"/>
                <w:szCs w:val="20"/>
              </w:rPr>
            </w:pPr>
            <w:r>
              <w:pict>
                <v:shape id="_x0000_s2054" o:spid="_x0000_s2054"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val="0"/>
                <w:bCs/>
                <w:szCs w:val="21"/>
                <w:lang w:val="en-US" w:eastAsia="zh-CN"/>
              </w:rPr>
              <w:t>公司所生产/销售的产品均按照产品相关标准和顾客要求生产/采购，生产/销售服务按照体系建立之前所策划好的生产/销售模式进行。不适用于8.3条款。不适用的要求不影响组织确保其产品和服务合格的能力或责任，对增强顾客满意也不会产生影响。</w:t>
            </w:r>
            <w:r>
              <w:rPr>
                <w:rFonts w:ascii="宋体" w:hAnsi="宋体"/>
                <w:b/>
                <w:color w:val="000000"/>
                <w:sz w:val="20"/>
                <w:szCs w:val="20"/>
              </w:rPr>
              <w:t xml:space="preserve">             </w:t>
            </w:r>
          </w:p>
          <w:p>
            <w:pPr>
              <w:tabs>
                <w:tab w:val="left" w:pos="540"/>
              </w:tabs>
              <w:spacing w:line="300" w:lineRule="exact"/>
              <w:ind w:left="31680"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提供了《环境因素识别与评价控制程序》和《危险源识别与风险评价控制程序》，对环境因素、危险源的识别、评价结果、控制手段等做出了规定。</w:t>
            </w:r>
          </w:p>
          <w:p>
            <w:pPr>
              <w:snapToGrid w:val="0"/>
              <w:spacing w:line="360" w:lineRule="auto"/>
              <w:ind w:right="392"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部门负责人</w:t>
            </w:r>
            <w:r>
              <w:rPr>
                <w:rFonts w:hint="eastAsia" w:asciiTheme="majorEastAsia" w:hAnsiTheme="majorEastAsia" w:eastAsiaTheme="majorEastAsia" w:cstheme="majorEastAsia"/>
                <w:sz w:val="21"/>
                <w:szCs w:val="21"/>
              </w:rPr>
              <w:t>介绍了对环境因素、危险源进行了辨识，考虑了三种时态，过去、现在和将来，三种状态，正常、异常和紧急，按照办公区域及工作过程，另外按照区域及工作过程等进行了辨识。</w:t>
            </w:r>
          </w:p>
          <w:p>
            <w:pPr>
              <w:snapToGrid w:val="0"/>
              <w:spacing w:line="360" w:lineRule="auto"/>
              <w:ind w:right="392"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提供了“环境因素辨识和评价表”，从生命周期观点，三种时态、三种状态、八个方面来识别，识别了办公过程的废纸随意丢弃污染环境、复印机打印机废墨盒处置污染环境、生活垃圾的处置不当污染环境，生产过程中噪音、废气、固废、火灾 、废水排放、能源消耗等，识别基本齐全。</w:t>
            </w:r>
          </w:p>
          <w:p>
            <w:pPr>
              <w:snapToGrid w:val="0"/>
              <w:spacing w:line="360" w:lineRule="auto"/>
              <w:ind w:right="392"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采用评分标准以打分的方式评价重要环境因素，评价出的重要环境因素为：1.</w:t>
            </w:r>
            <w:r>
              <w:rPr>
                <w:rFonts w:hint="eastAsia" w:asciiTheme="majorEastAsia" w:hAnsiTheme="majorEastAsia" w:eastAsiaTheme="majorEastAsia" w:cstheme="majorEastAsia"/>
                <w:kern w:val="0"/>
                <w:sz w:val="21"/>
                <w:szCs w:val="21"/>
              </w:rPr>
              <w:t xml:space="preserve"> </w:t>
            </w:r>
            <w:r>
              <w:rPr>
                <w:rFonts w:hint="eastAsia" w:asciiTheme="majorEastAsia" w:hAnsiTheme="majorEastAsia" w:eastAsiaTheme="majorEastAsia" w:cstheme="majorEastAsia"/>
                <w:kern w:val="0"/>
                <w:sz w:val="21"/>
                <w:szCs w:val="21"/>
                <w:lang w:val="en-US" w:eastAsia="zh-CN"/>
              </w:rPr>
              <w:t>废气</w:t>
            </w:r>
            <w:r>
              <w:rPr>
                <w:rFonts w:hint="eastAsia" w:asciiTheme="majorEastAsia" w:hAnsiTheme="majorEastAsia" w:eastAsiaTheme="majorEastAsia" w:cstheme="majorEastAsia"/>
                <w:kern w:val="0"/>
                <w:sz w:val="21"/>
                <w:szCs w:val="21"/>
              </w:rPr>
              <w:t>的排放</w:t>
            </w:r>
            <w:r>
              <w:rPr>
                <w:rFonts w:hint="eastAsia" w:asciiTheme="majorEastAsia" w:hAnsiTheme="majorEastAsia" w:eastAsiaTheme="majorEastAsia" w:cstheme="majorEastAsia"/>
                <w:sz w:val="21"/>
                <w:szCs w:val="21"/>
              </w:rPr>
              <w:t xml:space="preserve">    2.</w:t>
            </w:r>
            <w:r>
              <w:rPr>
                <w:rFonts w:hint="eastAsia" w:asciiTheme="majorEastAsia" w:hAnsiTheme="majorEastAsia" w:eastAsiaTheme="majorEastAsia" w:cstheme="majorEastAsia"/>
                <w:kern w:val="0"/>
                <w:sz w:val="21"/>
                <w:szCs w:val="21"/>
              </w:rPr>
              <w:t xml:space="preserve"> 噪声排放3、</w:t>
            </w:r>
            <w:r>
              <w:rPr>
                <w:rFonts w:hint="eastAsia" w:asciiTheme="majorEastAsia" w:hAnsiTheme="majorEastAsia" w:eastAsiaTheme="majorEastAsia" w:cstheme="majorEastAsia"/>
                <w:sz w:val="21"/>
                <w:szCs w:val="21"/>
              </w:rPr>
              <w:t>潜在火灾    4、固体废物排放</w:t>
            </w:r>
            <w:r>
              <w:rPr>
                <w:rFonts w:hint="eastAsia" w:asciiTheme="majorEastAsia" w:hAnsiTheme="majorEastAsia" w:eastAsiaTheme="majorEastAsia" w:cstheme="majorEastAsia"/>
                <w:sz w:val="21"/>
                <w:szCs w:val="21"/>
                <w:lang w:eastAsia="zh-CN"/>
              </w:rPr>
              <w:t>，</w:t>
            </w:r>
          </w:p>
          <w:p>
            <w:pPr>
              <w:snapToGrid w:val="0"/>
              <w:spacing w:line="360" w:lineRule="auto"/>
              <w:ind w:right="392" w:firstLine="420" w:firstLineChars="200"/>
              <w:rPr>
                <w:rFonts w:ascii="宋体" w:cs="宋体"/>
                <w:bCs/>
                <w:szCs w:val="21"/>
              </w:rPr>
            </w:pPr>
            <w:r>
              <w:rPr>
                <w:rFonts w:hint="eastAsia" w:asciiTheme="majorEastAsia" w:hAnsiTheme="majorEastAsia" w:eastAsiaTheme="majorEastAsia" w:cstheme="majorEastAsia"/>
                <w:sz w:val="21"/>
                <w:szCs w:val="21"/>
              </w:rPr>
              <w:t>策划通过运行控制、管理方案、培训教育、应急预案等对重大环境因素实施控制，基本适宜</w:t>
            </w:r>
            <w:bookmarkStart w:id="20" w:name="_GoBack"/>
            <w:bookmarkEnd w:id="20"/>
            <w:r>
              <w:rPr>
                <w:rFonts w:hint="eastAsia" w:asciiTheme="majorEastAsia" w:hAnsiTheme="majorEastAsia" w:eastAsiaTheme="majorEastAsia" w:cstheme="maj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职业安全健康管理体系危害辨识、风险评价、风险控制工作表》对部门生产办公活动各过程分别进行辨识，考虑了触电、职业病伤害、意外伤害、火灾、尘肺病等方面；生产部识别的各区域危险源有：电脑辐射、噪声伤害、触电、中暑、尘肺病、机械伤害、火灾事故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不可接受风险识别有：</w:t>
            </w:r>
            <w:r>
              <w:rPr>
                <w:rFonts w:hint="eastAsia" w:ascii="宋体" w:hAnsi="宋体" w:eastAsia="宋体" w:cs="宋体"/>
                <w:sz w:val="21"/>
                <w:szCs w:val="21"/>
                <w:lang w:val="en-US" w:eastAsia="zh-CN"/>
              </w:rPr>
              <w:t>1、</w:t>
            </w:r>
            <w:r>
              <w:rPr>
                <w:rFonts w:hint="eastAsia" w:ascii="宋体" w:hAnsi="宋体" w:eastAsia="宋体" w:cs="宋体"/>
                <w:sz w:val="21"/>
                <w:szCs w:val="21"/>
              </w:rPr>
              <w:t>机械伤害    2、</w:t>
            </w:r>
            <w:r>
              <w:rPr>
                <w:rFonts w:hint="eastAsia" w:ascii="宋体" w:hAnsi="宋体" w:eastAsia="宋体" w:cs="宋体"/>
                <w:sz w:val="21"/>
                <w:szCs w:val="21"/>
                <w:lang w:val="en-US" w:eastAsia="zh-CN"/>
              </w:rPr>
              <w:t>新冠病毒</w:t>
            </w:r>
            <w:r>
              <w:rPr>
                <w:rFonts w:hint="eastAsia" w:ascii="宋体" w:hAnsi="宋体" w:eastAsia="宋体" w:cs="宋体"/>
                <w:bCs/>
                <w:spacing w:val="10"/>
                <w:sz w:val="21"/>
                <w:szCs w:val="21"/>
                <w:lang w:val="en-US" w:eastAsia="zh-CN"/>
              </w:rPr>
              <w:t>3</w:t>
            </w:r>
            <w:r>
              <w:rPr>
                <w:rFonts w:hint="eastAsia" w:ascii="宋体" w:hAnsi="宋体" w:eastAsia="宋体" w:cs="宋体"/>
                <w:bCs/>
                <w:spacing w:val="10"/>
                <w:sz w:val="21"/>
                <w:szCs w:val="21"/>
              </w:rPr>
              <w:t>．</w:t>
            </w:r>
            <w:r>
              <w:rPr>
                <w:rFonts w:hint="eastAsia" w:ascii="宋体" w:hAnsi="宋体" w:eastAsia="宋体" w:cs="宋体"/>
                <w:sz w:val="21"/>
                <w:szCs w:val="21"/>
              </w:rPr>
              <w:t>职业病</w:t>
            </w:r>
            <w:r>
              <w:rPr>
                <w:rFonts w:hint="eastAsia" w:ascii="宋体" w:hAnsi="宋体" w:eastAsia="宋体" w:cs="宋体"/>
                <w:sz w:val="21"/>
                <w:szCs w:val="21"/>
                <w:lang w:val="en-US" w:eastAsia="zh-CN"/>
              </w:rPr>
              <w:t xml:space="preserve">  4.火灾爆炸 5.触电</w:t>
            </w:r>
            <w:r>
              <w:rPr>
                <w:rFonts w:hint="eastAsia" w:ascii="宋体" w:hAnsi="宋体" w:eastAsia="宋体" w:cs="宋体"/>
                <w:sz w:val="21"/>
                <w:szCs w:val="21"/>
              </w:rPr>
              <w:t>等。</w:t>
            </w:r>
          </w:p>
          <w:p>
            <w:pPr>
              <w:rPr>
                <w:rFonts w:ascii="宋体" w:cs="宋体"/>
                <w:bCs/>
                <w:color w:val="000000"/>
                <w:kern w:val="0"/>
                <w:szCs w:val="21"/>
              </w:rPr>
            </w:pPr>
            <w:r>
              <w:rPr>
                <w:rFonts w:hint="eastAsia" w:ascii="宋体" w:hAnsi="宋体" w:eastAsia="宋体" w:cs="宋体"/>
                <w:sz w:val="21"/>
                <w:szCs w:val="21"/>
              </w:rPr>
              <w:t>危险源识别经核实基本齐全，重大危险源评价基本合理。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31680"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总经理负责组织制定公司的管理目标，并在公司各部门进行分解，制定时考虑了公司的质量过程及其风险和机遇。</w:t>
            </w:r>
          </w:p>
          <w:p>
            <w:pPr>
              <w:rPr>
                <w:rFonts w:ascii="宋体"/>
                <w:sz w:val="22"/>
                <w:szCs w:val="22"/>
              </w:rPr>
            </w:pPr>
            <w:r>
              <w:rPr>
                <w:rFonts w:hint="eastAsia" w:ascii="宋体" w:hAnsi="宋体" w:cs="宋体"/>
                <w:szCs w:val="21"/>
              </w:rPr>
              <w:t>公司质量目标：</w:t>
            </w:r>
            <w:r>
              <w:rPr>
                <w:rFonts w:ascii="宋体" w:hAnsi="宋体" w:cs="宋体"/>
                <w:szCs w:val="21"/>
              </w:rPr>
              <w:t xml:space="preserve">  </w:t>
            </w:r>
          </w:p>
          <w:p>
            <w:pPr>
              <w:overflowPunct w:val="0"/>
              <w:autoSpaceDE w:val="0"/>
              <w:autoSpaceDN w:val="0"/>
              <w:adjustRightInd w:val="0"/>
              <w:spacing w:line="360" w:lineRule="auto"/>
              <w:rPr>
                <w:rFonts w:ascii="宋体"/>
                <w:b/>
                <w:szCs w:val="21"/>
              </w:rPr>
            </w:pPr>
            <w:r>
              <w:rPr>
                <w:rFonts w:hint="eastAsia" w:ascii="宋体" w:hAnsi="宋体"/>
                <w:b/>
                <w:szCs w:val="21"/>
              </w:rPr>
              <w:t>一、</w:t>
            </w:r>
            <w:r>
              <w:rPr>
                <w:rFonts w:hint="eastAsia" w:ascii="宋体" w:hAnsi="宋体"/>
                <w:szCs w:val="21"/>
              </w:rPr>
              <w:t>质量目标</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宋体" w:hAnsi="宋体"/>
                <w:szCs w:val="21"/>
              </w:rPr>
              <w:t>公司质量目标是：</w:t>
            </w:r>
            <w:r>
              <w:rPr>
                <w:rFonts w:ascii="宋体" w:hAnsi="宋体"/>
                <w:szCs w:val="21"/>
              </w:rPr>
              <w:t xml:space="preserve">                                 </w:t>
            </w:r>
            <w:r>
              <w:rPr>
                <w:rFonts w:hint="eastAsia" w:asciiTheme="majorEastAsia" w:hAnsiTheme="majorEastAsia" w:eastAsiaTheme="majorEastAsia" w:cstheme="majorEastAsia"/>
                <w:b w:val="0"/>
                <w:bCs w:val="0"/>
                <w:sz w:val="21"/>
                <w:szCs w:val="21"/>
              </w:rPr>
              <w:t>本公司质量管理、安全、环境目标为：1、顾客满意度≥85分；2、成品一次交验合格率≥98%3、及时交付率100%；</w:t>
            </w: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rPr>
              <w:t>、火灾事故为0；</w:t>
            </w:r>
            <w:r>
              <w:rPr>
                <w:rFonts w:hint="eastAsia" w:asciiTheme="majorEastAsia" w:hAnsiTheme="majorEastAsia" w:eastAsiaTheme="majorEastAsia" w:cstheme="majorEastAsia"/>
                <w:b w:val="0"/>
                <w:bCs w:val="0"/>
                <w:sz w:val="21"/>
                <w:szCs w:val="21"/>
                <w:lang w:val="en-US" w:eastAsia="zh-CN"/>
              </w:rPr>
              <w:t>5</w:t>
            </w:r>
            <w:r>
              <w:rPr>
                <w:rFonts w:hint="eastAsia" w:asciiTheme="majorEastAsia" w:hAnsiTheme="majorEastAsia" w:eastAsiaTheme="majorEastAsia" w:cstheme="majorEastAsia"/>
                <w:b w:val="0"/>
                <w:bCs w:val="0"/>
                <w:sz w:val="21"/>
                <w:szCs w:val="21"/>
              </w:rPr>
              <w:t>、固废分类回收率100%；</w:t>
            </w:r>
            <w:r>
              <w:rPr>
                <w:rFonts w:hint="eastAsia" w:asciiTheme="majorEastAsia" w:hAnsiTheme="majorEastAsia" w:eastAsiaTheme="majorEastAsia" w:cstheme="majorEastAsia"/>
                <w:b w:val="0"/>
                <w:bCs w:val="0"/>
                <w:sz w:val="21"/>
                <w:szCs w:val="21"/>
                <w:lang w:val="en-US" w:eastAsia="zh-CN"/>
              </w:rPr>
              <w:t>6</w:t>
            </w:r>
            <w:r>
              <w:rPr>
                <w:rFonts w:hint="eastAsia" w:asciiTheme="majorEastAsia" w:hAnsiTheme="majorEastAsia" w:eastAsiaTheme="majorEastAsia" w:cstheme="majorEastAsia"/>
                <w:b w:val="0"/>
                <w:bCs w:val="0"/>
                <w:sz w:val="21"/>
                <w:szCs w:val="21"/>
              </w:rPr>
              <w:t>、噪声、废气达标排放</w:t>
            </w:r>
            <w:r>
              <w:rPr>
                <w:rFonts w:hint="eastAsia" w:asciiTheme="majorEastAsia" w:hAnsiTheme="majorEastAsia" w:eastAsiaTheme="majorEastAsia" w:cstheme="majorEastAsia"/>
                <w:b w:val="0"/>
                <w:bCs w:val="0"/>
                <w:sz w:val="21"/>
                <w:szCs w:val="21"/>
                <w:lang w:val="en-US" w:eastAsia="zh-CN"/>
              </w:rPr>
              <w:t>7</w:t>
            </w:r>
            <w:r>
              <w:rPr>
                <w:rFonts w:hint="eastAsia" w:asciiTheme="majorEastAsia" w:hAnsiTheme="majorEastAsia" w:eastAsiaTheme="majorEastAsia" w:cstheme="majorEastAsia"/>
                <w:b w:val="0"/>
                <w:bCs w:val="0"/>
                <w:sz w:val="21"/>
                <w:szCs w:val="21"/>
              </w:rPr>
              <w:t>、人身伤害事故为0</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hint="eastAsia" w:ascii="宋体" w:hAnsi="宋体" w:eastAsia="黑体"/>
                <w:bCs/>
                <w:szCs w:val="21"/>
                <w:lang w:val="en-US" w:eastAsia="zh-CN"/>
              </w:rPr>
              <w:t>A0</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12</w:t>
            </w:r>
            <w:r>
              <w:rPr>
                <w:rFonts w:ascii="宋体" w:hAnsi="宋体" w:cs="宋体"/>
                <w:szCs w:val="21"/>
              </w:rPr>
              <w:t>.1</w:t>
            </w:r>
            <w:r>
              <w:rPr>
                <w:rFonts w:hint="eastAsia" w:ascii="宋体" w:hAnsi="宋体" w:cs="宋体"/>
                <w:szCs w:val="21"/>
                <w:lang w:val="en-US" w:eastAsia="zh-CN"/>
              </w:rPr>
              <w:t>2</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12</w:t>
            </w:r>
            <w:r>
              <w:rPr>
                <w:rFonts w:ascii="宋体" w:hAnsi="宋体" w:cs="宋体"/>
                <w:szCs w:val="21"/>
              </w:rPr>
              <w:t>.1</w:t>
            </w:r>
            <w:r>
              <w:rPr>
                <w:rFonts w:hint="eastAsia" w:ascii="宋体" w:hAnsi="宋体" w:cs="宋体"/>
                <w:szCs w:val="21"/>
                <w:lang w:val="en-US" w:eastAsia="zh-CN"/>
              </w:rPr>
              <w:t>2</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lang w:val="en-US" w:eastAsia="zh-CN"/>
              </w:rPr>
              <w:t>办公室</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办公室</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办公室</w:t>
            </w:r>
            <w:r>
              <w:rPr>
                <w:rFonts w:hint="eastAsia"/>
              </w:rPr>
              <w:t>定期对其进行检查，目前保存完好。名称，编号构成记录的唯一性标识。</w:t>
            </w:r>
          </w:p>
          <w:p>
            <w:pPr>
              <w:ind w:firstLine="420" w:firstLineChars="200"/>
              <w:rPr>
                <w:rFonts w:ascii="宋体" w:cs="宋体"/>
                <w:szCs w:val="21"/>
              </w:rPr>
            </w:pPr>
            <w:r>
              <w:rPr>
                <w:rFonts w:ascii="宋体" w:hAnsi="宋体"/>
                <w:bCs/>
                <w:szCs w:val="21"/>
              </w:rPr>
              <w:t>A</w:t>
            </w:r>
            <w:r>
              <w:rPr>
                <w:rFonts w:hint="eastAsia" w:ascii="宋体" w:hAnsi="宋体"/>
                <w:bCs/>
                <w:szCs w:val="21"/>
              </w:rPr>
              <w:t>版</w:t>
            </w:r>
            <w:r>
              <w:rPr>
                <w:rFonts w:hint="eastAsia" w:ascii="宋体" w:hAnsi="宋体" w:cs="宋体"/>
                <w:szCs w:val="21"/>
              </w:rPr>
              <w:t>的管理手册和程序文件已经由行政部组织统一收回、处置。</w:t>
            </w:r>
          </w:p>
          <w:p>
            <w:pPr>
              <w:tabs>
                <w:tab w:val="left" w:pos="540"/>
              </w:tabs>
              <w:spacing w:line="240" w:lineRule="exact"/>
              <w:rPr>
                <w:rFonts w:ascii="宋体"/>
                <w:b/>
                <w:color w:val="000000"/>
                <w:sz w:val="20"/>
                <w:szCs w:val="20"/>
              </w:rPr>
            </w:pPr>
            <w:r>
              <w:rPr>
                <w:rFonts w:hint="eastAsia" w:ascii="宋体" w:hAnsi="宋体" w:cs="宋体"/>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质检</w:t>
            </w:r>
            <w:r>
              <w:rPr>
                <w:rFonts w:hint="eastAsia" w:ascii="宋体" w:hAnsi="宋体" w:cs="宋体"/>
                <w:szCs w:val="21"/>
              </w:rPr>
              <w:t>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eastAsia="宋体" w:cs="宋体"/>
                <w:bCs/>
                <w:sz w:val="21"/>
                <w:szCs w:val="21"/>
                <w:lang w:val="en-US" w:eastAsia="zh-CN"/>
              </w:rPr>
              <w:t>喷涂流水线、抛丸机、液压弯管机、液压重孔机、台钻、冲床、全自动切管机、电焊机、固化炉、风机、低温等离子光解一体机、布袋除尘器、移动式焊烟净化器等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8"/>
              <w:ind w:firstLine="31680"/>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8"/>
              <w:ind w:firstLine="31680"/>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8"/>
              <w:ind w:firstLine="31680"/>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8"/>
              <w:ind w:firstLine="31680"/>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ascii="宋体" w:hAnsi="宋体" w:eastAsia="宋体" w:cs="宋体"/>
                <w:bCs/>
                <w:color w:val="auto"/>
                <w:sz w:val="21"/>
                <w:szCs w:val="21"/>
                <w:lang w:val="en-US" w:eastAsia="zh-CN"/>
              </w:rPr>
              <w:t>游标卡尺、外径千分尺、钢直尺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eastAsia="宋体" w:cs="宋体"/>
                <w:sz w:val="21"/>
                <w:szCs w:val="21"/>
                <w:lang w:val="en-US" w:eastAsia="zh-CN"/>
              </w:rPr>
              <w:t>低温等离子-UX光解一体机</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10" w:firstLineChars="100"/>
              <w:rPr>
                <w:rFonts w:asci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灭火器、消防器材、标识牌等。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李兰兰</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李兰兰</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ind w:firstLine="440" w:firstLineChars="200"/>
              <w:rPr>
                <w:szCs w:val="21"/>
                <w:lang w:val="zh-CN"/>
              </w:rPr>
            </w:pPr>
            <w:r>
              <w:rPr>
                <w:rFonts w:hint="eastAsia" w:ascii="宋体" w:hAnsi="宋体"/>
                <w:color w:val="auto"/>
                <w:sz w:val="22"/>
                <w:szCs w:val="21"/>
              </w:rPr>
              <w:t>成都建海教育设备有限公司</w:t>
            </w:r>
            <w:r>
              <w:rPr>
                <w:rFonts w:hint="eastAsia" w:ascii="宋体" w:hAnsi="宋体" w:cs="宋体"/>
                <w:color w:val="auto"/>
                <w:szCs w:val="21"/>
              </w:rPr>
              <w:t>、</w:t>
            </w:r>
            <w:r>
              <w:rPr>
                <w:rFonts w:ascii="宋体" w:hAnsi="宋体" w:cs="宋体"/>
                <w:color w:val="auto"/>
                <w:szCs w:val="21"/>
              </w:rPr>
              <w:t>成都三零盛安信息系统有限公司</w:t>
            </w:r>
            <w:r>
              <w:rPr>
                <w:rFonts w:hint="eastAsia" w:ascii="宋体" w:hAnsi="宋体" w:cs="宋体"/>
                <w:color w:val="auto"/>
                <w:szCs w:val="21"/>
              </w:rPr>
              <w:t>、成都蒲江小城镇建设投资有限公司</w:t>
            </w:r>
            <w:r>
              <w:rPr>
                <w:rFonts w:hint="eastAsia" w:ascii="宋体" w:hAnsi="宋体" w:cs="宋体"/>
                <w:color w:val="auto"/>
                <w:szCs w:val="21"/>
                <w:lang w:eastAsia="zh-CN"/>
              </w:rPr>
              <w:t>，</w:t>
            </w:r>
            <w:r>
              <w:rPr>
                <w:rFonts w:hint="eastAsia"/>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6</w:t>
            </w:r>
            <w:r>
              <w:rPr>
                <w:rFonts w:hint="eastAsia" w:ascii="仿宋_GB2312" w:eastAsia="仿宋_GB2312"/>
                <w:szCs w:val="21"/>
              </w:rPr>
              <w:t>月</w:t>
            </w:r>
            <w:r>
              <w:rPr>
                <w:rFonts w:hint="eastAsia" w:ascii="仿宋_GB2312" w:eastAsia="仿宋_GB2312"/>
                <w:szCs w:val="21"/>
                <w:lang w:val="en-US" w:eastAsia="zh-CN"/>
              </w:rPr>
              <w:t>14</w:t>
            </w:r>
            <w:r>
              <w:rPr>
                <w:rFonts w:hint="eastAsia" w:ascii="仿宋_GB2312" w:eastAsia="仿宋_GB2312"/>
                <w:szCs w:val="21"/>
              </w:rPr>
              <w:t>日</w:t>
            </w:r>
            <w:r>
              <w:rPr>
                <w:rFonts w:hint="eastAsia"/>
                <w:szCs w:val="21"/>
                <w:lang w:val="zh-CN"/>
              </w:rPr>
              <w:t>发放调查表共</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w:t>
            </w:r>
          </w:p>
          <w:p>
            <w:pPr>
              <w:spacing w:before="50" w:line="240" w:lineRule="atLeast"/>
              <w:ind w:firstLine="240" w:firstLineChars="100"/>
              <w:rPr>
                <w:rFonts w:ascii="仿宋_GB2312" w:eastAsia="仿宋_GB2312"/>
                <w:sz w:val="24"/>
              </w:rPr>
            </w:pPr>
            <w:r>
              <w:rPr>
                <w:rFonts w:hint="eastAsia" w:ascii="仿宋_GB2312" w:eastAsia="仿宋_GB2312"/>
                <w:sz w:val="24"/>
              </w:rPr>
              <w:t>满意度为：</w:t>
            </w:r>
            <w:r>
              <w:rPr>
                <w:rFonts w:ascii="仿宋_GB2312" w:eastAsia="仿宋_GB2312"/>
                <w:sz w:val="24"/>
              </w:rPr>
              <w:t xml:space="preserve"> </w:t>
            </w:r>
            <w:r>
              <w:rPr>
                <w:rFonts w:hint="eastAsia" w:ascii="仿宋_GB2312" w:eastAsia="仿宋_GB2312"/>
                <w:sz w:val="24"/>
                <w:lang w:val="en-US" w:eastAsia="zh-CN"/>
              </w:rPr>
              <w:t>93</w:t>
            </w:r>
            <w:r>
              <w:rPr>
                <w:rFonts w:hint="eastAsia" w:ascii="仿宋_GB2312" w:eastAsia="仿宋_GB2312"/>
                <w:sz w:val="24"/>
              </w:rPr>
              <w:t>分</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3</w:t>
            </w:r>
            <w:r>
              <w:rPr>
                <w:szCs w:val="22"/>
              </w:rPr>
              <w:t>%</w:t>
            </w:r>
            <w:r>
              <w:rPr>
                <w:rFonts w:hint="eastAsia"/>
                <w:szCs w:val="22"/>
              </w:rPr>
              <w:t>，达到了目标值</w:t>
            </w:r>
            <w:r>
              <w:rPr>
                <w:szCs w:val="22"/>
              </w:rPr>
              <w:t>9</w:t>
            </w:r>
            <w:r>
              <w:rPr>
                <w:rFonts w:hint="eastAsia"/>
                <w:szCs w:val="22"/>
                <w:lang w:val="en-US" w:eastAsia="zh-CN"/>
              </w:rPr>
              <w:t>0</w:t>
            </w:r>
            <w:r>
              <w:rPr>
                <w:szCs w:val="22"/>
              </w:rPr>
              <w:t>%</w:t>
            </w:r>
            <w:r>
              <w:rPr>
                <w:rFonts w:hint="eastAsia"/>
                <w:szCs w:val="22"/>
              </w:rPr>
              <w:t>。该结果已提交管理评审。</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color w:val="000000"/>
                <w:sz w:val="20"/>
                <w:szCs w:val="20"/>
              </w:rPr>
            </w:pPr>
            <w:r>
              <w:rPr>
                <w:rFonts w:hint="eastAsia"/>
                <w:color w:val="000000"/>
                <w:sz w:val="20"/>
                <w:szCs w:val="20"/>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r>
              <w:rPr>
                <w:b/>
                <w:color w:val="000000"/>
                <w:sz w:val="20"/>
                <w:szCs w:val="20"/>
              </w:rPr>
              <w:t>/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编制与环境、安全体系运行控制有关的文件有《管理运行控制程序》、《废弃物处理规定》、《环境保护管理规定》、《消防管理规定》、《职业卫生管理规定》、《劳动保护管理规定》、《危险化学品安全管理规定》、《生产现场管理规定》、《环境作业指导书文件》、《职业安全健康管理体系作业指导书》、《应急预案》等。</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查到201</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现状</w:t>
            </w:r>
            <w:r>
              <w:rPr>
                <w:rFonts w:hint="eastAsia" w:ascii="宋体" w:hAnsi="宋体" w:eastAsia="宋体" w:cs="宋体"/>
                <w:sz w:val="21"/>
                <w:szCs w:val="21"/>
              </w:rPr>
              <w:t>环评报告，</w:t>
            </w:r>
            <w:r>
              <w:rPr>
                <w:rFonts w:hint="eastAsia" w:ascii="宋体" w:hAnsi="宋体" w:eastAsia="宋体" w:cs="宋体"/>
                <w:sz w:val="21"/>
                <w:szCs w:val="21"/>
                <w:lang w:val="en-US" w:eastAsia="zh-CN"/>
              </w:rPr>
              <w:t>2016年12月23日</w:t>
            </w:r>
            <w:r>
              <w:rPr>
                <w:rFonts w:hint="eastAsia" w:ascii="宋体" w:hAnsi="宋体" w:eastAsia="宋体" w:cs="宋体"/>
                <w:color w:val="000000"/>
                <w:sz w:val="21"/>
                <w:szCs w:val="21"/>
              </w:rPr>
              <w:t>霸州市三合众鑫家具有限责任公司</w:t>
            </w:r>
            <w:r>
              <w:rPr>
                <w:rFonts w:hint="eastAsia" w:ascii="宋体" w:hAnsi="宋体" w:eastAsia="宋体" w:cs="宋体"/>
                <w:sz w:val="21"/>
                <w:szCs w:val="21"/>
                <w:lang w:val="en-US" w:eastAsia="zh-CN"/>
              </w:rPr>
              <w:t>年产4万套校具项目现状环境影响评估报告专家评审意见、2016年12月29日</w:t>
            </w:r>
            <w:r>
              <w:rPr>
                <w:rFonts w:hint="eastAsia" w:ascii="宋体" w:hAnsi="宋体" w:eastAsia="宋体" w:cs="宋体"/>
                <w:color w:val="000000"/>
                <w:sz w:val="21"/>
                <w:szCs w:val="21"/>
              </w:rPr>
              <w:t>霸州市</w:t>
            </w:r>
            <w:r>
              <w:rPr>
                <w:rFonts w:hint="eastAsia" w:ascii="宋体" w:hAnsi="宋体" w:eastAsia="宋体" w:cs="宋体"/>
                <w:sz w:val="21"/>
                <w:szCs w:val="21"/>
                <w:lang w:val="en-US" w:eastAsia="zh-CN"/>
              </w:rPr>
              <w:t>环境保护局</w:t>
            </w:r>
            <w:r>
              <w:rPr>
                <w:rFonts w:hint="eastAsia" w:ascii="宋体" w:hAnsi="宋体" w:eastAsia="宋体" w:cs="宋体"/>
                <w:color w:val="000000"/>
                <w:sz w:val="21"/>
                <w:szCs w:val="21"/>
              </w:rPr>
              <w:t>霸</w:t>
            </w:r>
            <w:r>
              <w:rPr>
                <w:rFonts w:hint="eastAsia" w:ascii="宋体" w:hAnsi="宋体" w:eastAsia="宋体" w:cs="宋体"/>
                <w:sz w:val="21"/>
                <w:szCs w:val="21"/>
                <w:lang w:val="en-US" w:eastAsia="zh-CN"/>
              </w:rPr>
              <w:t>环备(2016)W363号《</w:t>
            </w:r>
            <w:r>
              <w:rPr>
                <w:rFonts w:hint="eastAsia" w:ascii="宋体" w:hAnsi="宋体" w:eastAsia="宋体" w:cs="宋体"/>
                <w:color w:val="000000"/>
                <w:sz w:val="21"/>
                <w:szCs w:val="21"/>
              </w:rPr>
              <w:t>霸州市三合众鑫家具有限责任公司</w:t>
            </w:r>
            <w:r>
              <w:rPr>
                <w:rFonts w:hint="eastAsia" w:ascii="宋体" w:hAnsi="宋体" w:eastAsia="宋体" w:cs="宋体"/>
                <w:sz w:val="21"/>
                <w:szCs w:val="21"/>
                <w:lang w:val="en-US" w:eastAsia="zh-CN"/>
              </w:rPr>
              <w:t>年产4万套校具项目现状环境影响评估报告的备案意见》，提供河北润利环境检测有限公司检测报告，报告日期：2021年2月27日。</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1、废水管控：</w:t>
            </w:r>
          </w:p>
          <w:p>
            <w:pPr>
              <w:spacing w:line="240" w:lineRule="auto"/>
              <w:ind w:firstLine="42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本项目生产过程不产生废水，生活污水为员工日常工作生活过程中产生，员工如厕使用旱厕，生活废水用于厂区绿化和道路喷洒抑尘，全厂没有废水外排。</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2、废气管控：</w:t>
            </w:r>
          </w:p>
          <w:p>
            <w:pPr>
              <w:spacing w:line="240" w:lineRule="auto"/>
              <w:ind w:firstLine="42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本项目产生的焊接烟气通过采用移动式焊接烟气吸尘器收集后，采用无组织排放的形式；抛丸粉尘采用布袋除尘器处理后通过15m高的排气筒排放；喷涂工序产生的废气采用2 套布袋除尘器处理后通过1 根15m高的排气筒排放；烘干过程中会产生非甲烷总烃，经集气罩收集后通过低温等离子-UX光解一体机处理，最后通过1 根15m高的排气筒排放。</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3、噪声管控：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生产过程在</w:t>
            </w:r>
            <w:r>
              <w:rPr>
                <w:rFonts w:hint="eastAsia" w:ascii="宋体" w:hAnsi="宋体" w:eastAsia="宋体" w:cs="宋体"/>
                <w:sz w:val="21"/>
                <w:szCs w:val="21"/>
                <w:lang w:val="en-US" w:eastAsia="zh-CN"/>
              </w:rPr>
              <w:t>弯管</w:t>
            </w:r>
            <w:r>
              <w:rPr>
                <w:rFonts w:hint="eastAsia" w:ascii="宋体" w:hAnsi="宋体" w:eastAsia="宋体" w:cs="宋体"/>
                <w:sz w:val="21"/>
                <w:szCs w:val="21"/>
              </w:rPr>
              <w:t>、</w:t>
            </w:r>
            <w:r>
              <w:rPr>
                <w:rFonts w:hint="eastAsia" w:ascii="宋体" w:hAnsi="宋体" w:eastAsia="宋体" w:cs="宋体"/>
                <w:sz w:val="21"/>
                <w:szCs w:val="21"/>
                <w:lang w:val="en-US" w:eastAsia="zh-CN"/>
              </w:rPr>
              <w:t>冲床</w:t>
            </w:r>
            <w:r>
              <w:rPr>
                <w:rFonts w:hint="eastAsia" w:ascii="宋体" w:hAnsi="宋体" w:eastAsia="宋体" w:cs="宋体"/>
                <w:sz w:val="21"/>
                <w:szCs w:val="21"/>
              </w:rPr>
              <w:t>、</w:t>
            </w:r>
            <w:r>
              <w:rPr>
                <w:rFonts w:hint="eastAsia" w:ascii="宋体" w:hAnsi="宋体" w:eastAsia="宋体" w:cs="宋体"/>
                <w:sz w:val="21"/>
                <w:szCs w:val="21"/>
                <w:lang w:val="en-US" w:eastAsia="zh-CN"/>
              </w:rPr>
              <w:t>台钻</w:t>
            </w:r>
            <w:r>
              <w:rPr>
                <w:rFonts w:hint="eastAsia" w:ascii="宋体" w:hAnsi="宋体" w:eastAsia="宋体" w:cs="宋体"/>
                <w:sz w:val="21"/>
                <w:szCs w:val="21"/>
              </w:rPr>
              <w:t>、</w:t>
            </w:r>
            <w:r>
              <w:rPr>
                <w:rFonts w:hint="eastAsia" w:ascii="宋体" w:hAnsi="宋体" w:eastAsia="宋体" w:cs="宋体"/>
                <w:sz w:val="21"/>
                <w:szCs w:val="21"/>
                <w:lang w:val="en-US" w:eastAsia="zh-CN"/>
              </w:rPr>
              <w:t>切管机、抛丸机、风机</w:t>
            </w:r>
            <w:r>
              <w:rPr>
                <w:rFonts w:hint="eastAsia" w:ascii="宋体" w:hAnsi="宋体" w:eastAsia="宋体" w:cs="宋体"/>
                <w:sz w:val="21"/>
                <w:szCs w:val="21"/>
              </w:rPr>
              <w:t>等工序产生噪声，采取厂房内操作和选用低噪声的设备和工具，同时加强设备的检查和维保，确保机械设备在正常工况下运行，其他工序基本无噪声，高噪声设备操作工戴耳塞。</w:t>
            </w:r>
          </w:p>
          <w:p>
            <w:pPr>
              <w:spacing w:line="240" w:lineRule="auto"/>
              <w:ind w:firstLine="421"/>
              <w:rPr>
                <w:rFonts w:hint="eastAsia" w:ascii="宋体" w:hAnsi="宋体" w:eastAsia="宋体" w:cs="宋体"/>
                <w:sz w:val="21"/>
                <w:szCs w:val="21"/>
                <w:lang w:val="en-US"/>
              </w:rPr>
            </w:pPr>
            <w:r>
              <w:rPr>
                <w:rFonts w:hint="eastAsia" w:ascii="宋体" w:hAnsi="宋体" w:eastAsia="宋体" w:cs="宋体"/>
                <w:sz w:val="21"/>
                <w:szCs w:val="21"/>
              </w:rPr>
              <w:t>4、固废管控：</w:t>
            </w:r>
            <w:r>
              <w:rPr>
                <w:rFonts w:hint="eastAsia" w:ascii="宋体" w:hAnsi="宋体" w:eastAsia="宋体" w:cs="宋体"/>
                <w:sz w:val="21"/>
                <w:szCs w:val="21"/>
                <w:lang w:val="en-US" w:eastAsia="zh-CN"/>
              </w:rPr>
              <w:t>产生的固废主要为废钢料、焊接工序产生的焊条头和焊渣、抛丸机自带除尘设备收集的金属粉尘、喷涂布袋收集器收集的粉尘和职工生活产生的生活垃圾。废钢料和抛丸机自带除尘设备收集的金属粉尘交由物资回收部门进行回收利用，焊接工序产生的焊条头和焊渣，喷涂布袋收集器收集的粉尘作为原料回收利用，生活垃圾由当地环卫部门统一收集处理。</w:t>
            </w:r>
          </w:p>
          <w:p>
            <w:pPr>
              <w:numPr>
                <w:ilvl w:val="0"/>
                <w:numId w:val="4"/>
              </w:numPr>
              <w:spacing w:line="240" w:lineRule="auto"/>
              <w:ind w:left="-1" w:leftChars="0" w:firstLine="421" w:firstLineChars="0"/>
              <w:rPr>
                <w:rFonts w:hint="eastAsia" w:ascii="宋体" w:hAnsi="宋体" w:eastAsia="宋体" w:cs="宋体"/>
                <w:sz w:val="21"/>
                <w:szCs w:val="21"/>
              </w:rPr>
            </w:pPr>
            <w:r>
              <w:rPr>
                <w:rFonts w:hint="eastAsia" w:ascii="宋体" w:hAnsi="宋体" w:eastAsia="宋体" w:cs="宋体"/>
                <w:sz w:val="21"/>
                <w:szCs w:val="21"/>
              </w:rPr>
              <w:t>能源资源管控：</w:t>
            </w:r>
          </w:p>
          <w:p>
            <w:pPr>
              <w:spacing w:line="240" w:lineRule="auto"/>
              <w:ind w:firstLine="420" w:firstLineChars="200"/>
              <w:rPr>
                <w:rFonts w:ascii="楷体" w:hAnsi="楷体" w:eastAsia="楷体" w:cs="宋体"/>
                <w:sz w:val="24"/>
                <w:szCs w:val="24"/>
              </w:rPr>
            </w:pPr>
            <w:r>
              <w:rPr>
                <w:rFonts w:hint="eastAsia" w:ascii="宋体" w:hAnsi="宋体" w:eastAsia="宋体" w:cs="宋体"/>
                <w:sz w:val="21"/>
                <w:szCs w:val="21"/>
              </w:rPr>
              <w:t>生产过程注意节水、节电、节约木材，人走关闭设备和照明开关，现场未发现有</w:t>
            </w:r>
            <w:r>
              <w:rPr>
                <w:rFonts w:hint="eastAsia" w:ascii="楷体" w:hAnsi="楷体" w:eastAsia="楷体" w:cs="宋体"/>
                <w:sz w:val="24"/>
                <w:szCs w:val="24"/>
              </w:rPr>
              <w:t>漏水和浪费电能的现象。</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公司从工艺设计和采购产品时已考虑了产品的环保性（包括其包装），生产过程中，严格按照环保等管理制度实施，控制好辅助材料的用量，避免浪费，生命周期终了时木材还可以回收再利用。</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公司生产车间和办公区域配备了灭火器、消防栓，均符合要求。</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8、安全防护：</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9、能提供防止员工意外伤害加重的急救药品如创可贴、杀菌药水等。</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10、为主要长期员工上社保，查见了交款证明。</w:t>
            </w:r>
          </w:p>
          <w:p>
            <w:pPr>
              <w:spacing w:line="240" w:lineRule="auto"/>
              <w:ind w:firstLine="421"/>
              <w:rPr>
                <w:rFonts w:ascii="楷体" w:hAnsi="楷体" w:eastAsia="楷体"/>
                <w:sz w:val="24"/>
                <w:szCs w:val="24"/>
              </w:rPr>
            </w:pPr>
            <w:r>
              <w:rPr>
                <w:rFonts w:hint="eastAsia" w:ascii="宋体" w:hAnsi="宋体" w:eastAsia="宋体" w:cs="宋体"/>
                <w:sz w:val="21"/>
                <w:szCs w:val="21"/>
              </w:rPr>
              <w:t>11、为环境和职业健康安全管理体系运行提供了财务支持，见</w:t>
            </w:r>
            <w:r>
              <w:rPr>
                <w:rFonts w:hint="eastAsia" w:ascii="宋体" w:hAnsi="宋体" w:cs="宋体"/>
                <w:sz w:val="21"/>
                <w:szCs w:val="21"/>
                <w:lang w:val="en-US" w:eastAsia="zh-CN"/>
              </w:rPr>
              <w:t>财务</w:t>
            </w:r>
            <w:r>
              <w:rPr>
                <w:rFonts w:hint="eastAsia" w:ascii="宋体" w:hAnsi="宋体" w:eastAsia="宋体" w:cs="宋体"/>
                <w:sz w:val="21"/>
                <w:szCs w:val="21"/>
              </w:rPr>
              <w:t>部审核记录</w:t>
            </w:r>
            <w:r>
              <w:rPr>
                <w:rFonts w:hint="eastAsia" w:ascii="楷体" w:hAnsi="楷体" w:eastAsia="楷体"/>
                <w:sz w:val="24"/>
                <w:szCs w:val="24"/>
              </w:rPr>
              <w:t>。</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车间现场在环保和职业健康安全防护方面的控制管理基本有效。</w:t>
            </w:r>
          </w:p>
          <w:p>
            <w:pPr>
              <w:rPr>
                <w:rFonts w:ascii="宋体" w:cs="宋体"/>
                <w:bCs/>
                <w:szCs w:val="21"/>
              </w:rPr>
            </w:pPr>
            <w:r>
              <w:rPr>
                <w:rFonts w:hint="eastAsia" w:ascii="宋体" w:hAnsi="宋体" w:eastAsia="宋体" w:cs="宋体"/>
                <w:sz w:val="21"/>
                <w:szCs w:val="21"/>
              </w:rPr>
              <w:t>未能提供</w:t>
            </w:r>
            <w:r>
              <w:rPr>
                <w:rFonts w:hint="eastAsia" w:ascii="宋体" w:hAnsi="宋体" w:eastAsia="宋体" w:cs="宋体"/>
                <w:sz w:val="21"/>
                <w:szCs w:val="21"/>
                <w:lang w:val="en-US" w:eastAsia="zh-CN"/>
              </w:rPr>
              <w:t>叉车</w:t>
            </w:r>
            <w:r>
              <w:rPr>
                <w:rFonts w:hint="eastAsia" w:ascii="宋体" w:hAnsi="宋体" w:eastAsia="宋体" w:cs="宋体"/>
                <w:sz w:val="21"/>
                <w:szCs w:val="21"/>
              </w:rPr>
              <w:t>的检验合格证据，不符合要求，开具了不符合报告。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r>
              <w:rPr>
                <w:b/>
                <w:color w:val="000000"/>
                <w:sz w:val="20"/>
                <w:szCs w:val="20"/>
              </w:rPr>
              <w:t xml:space="preserve">  </w:t>
            </w: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411" w:firstLineChars="196"/>
              <w:rPr>
                <w:color w:val="000000"/>
                <w:sz w:val="20"/>
                <w:szCs w:val="20"/>
                <w:u w:val="single"/>
              </w:rPr>
            </w:pPr>
            <w:r>
              <w:rPr>
                <w:rFonts w:hint="eastAsia" w:ascii="宋体" w:hAnsi="宋体" w:eastAsia="宋体" w:cs="宋体"/>
                <w:sz w:val="21"/>
                <w:szCs w:val="21"/>
              </w:rPr>
              <w:t>未能提供</w:t>
            </w:r>
            <w:r>
              <w:rPr>
                <w:rFonts w:hint="eastAsia" w:ascii="宋体" w:hAnsi="宋体" w:eastAsia="宋体" w:cs="宋体"/>
                <w:sz w:val="21"/>
                <w:szCs w:val="21"/>
                <w:lang w:val="en-US" w:eastAsia="zh-CN"/>
              </w:rPr>
              <w:t>叉车</w:t>
            </w:r>
            <w:r>
              <w:rPr>
                <w:rFonts w:hint="eastAsia" w:ascii="宋体" w:hAnsi="宋体" w:eastAsia="宋体" w:cs="宋体"/>
                <w:sz w:val="21"/>
                <w:szCs w:val="21"/>
              </w:rPr>
              <w:t>的检验合格证据，不符合要求，开具了不符合报告。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rFonts w:hint="eastAsia"/>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3168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3168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ind w:firstLine="440" w:firstLineChars="200"/>
              <w:rPr>
                <w:b/>
                <w:color w:val="000000"/>
                <w:sz w:val="20"/>
                <w:szCs w:val="20"/>
              </w:rPr>
            </w:pPr>
            <w:r>
              <w:rPr>
                <w:rFonts w:hint="eastAsia" w:ascii="宋体" w:hAnsi="宋体"/>
                <w:color w:val="auto"/>
                <w:sz w:val="22"/>
                <w:szCs w:val="21"/>
              </w:rPr>
              <w:t>成都建海教育设备有限公司</w:t>
            </w:r>
            <w:r>
              <w:rPr>
                <w:rFonts w:hint="eastAsia" w:ascii="宋体" w:hAnsi="宋体" w:cs="宋体"/>
                <w:color w:val="auto"/>
                <w:szCs w:val="21"/>
              </w:rPr>
              <w:t>、</w:t>
            </w:r>
            <w:r>
              <w:rPr>
                <w:rFonts w:ascii="宋体" w:hAnsi="宋体" w:cs="宋体"/>
                <w:color w:val="auto"/>
                <w:szCs w:val="21"/>
              </w:rPr>
              <w:t>成都三零盛安信息系统有限公司</w:t>
            </w:r>
            <w:r>
              <w:rPr>
                <w:rFonts w:hint="eastAsia" w:ascii="宋体" w:hAnsi="宋体" w:cs="宋体"/>
                <w:color w:val="auto"/>
                <w:szCs w:val="21"/>
              </w:rPr>
              <w:t>、成都蒲江小城镇建设投资有限公司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21</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ascii="宋体" w:hAnsi="宋体"/>
                <w:szCs w:val="21"/>
              </w:rPr>
              <w:t>-</w:t>
            </w:r>
            <w:r>
              <w:rPr>
                <w:rFonts w:hint="eastAsia" w:ascii="宋体" w:hAnsi="宋体"/>
                <w:szCs w:val="21"/>
                <w:lang w:val="en-US" w:eastAsia="zh-CN"/>
              </w:rPr>
              <w:t>21</w:t>
            </w:r>
            <w:r>
              <w:rPr>
                <w:rFonts w:hint="eastAsia" w:ascii="宋体" w:hAnsi="宋体"/>
                <w:szCs w:val="21"/>
              </w:rPr>
              <w:t>日。查阅</w:t>
            </w:r>
            <w:r>
              <w:rPr>
                <w:rFonts w:ascii="宋体" w:hAnsi="宋体"/>
                <w:szCs w:val="21"/>
              </w:rPr>
              <w:t>20</w:t>
            </w:r>
            <w:r>
              <w:rPr>
                <w:rFonts w:hint="eastAsia" w:ascii="宋体" w:hAnsi="宋体"/>
                <w:szCs w:val="21"/>
                <w:lang w:val="en-US" w:eastAsia="zh-CN"/>
              </w:rPr>
              <w:t>21</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GB</w:t>
            </w:r>
            <w:r>
              <w:rPr>
                <w:rFonts w:hint="eastAsia" w:ascii="宋体" w:hAnsi="宋体"/>
                <w:color w:val="000000"/>
                <w:szCs w:val="21"/>
              </w:rPr>
              <w:t>／</w:t>
            </w:r>
            <w:r>
              <w:rPr>
                <w:rFonts w:ascii="宋体" w:hAnsi="宋体"/>
                <w:color w:val="000000"/>
                <w:szCs w:val="21"/>
              </w:rPr>
              <w:t>T28001-2011</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GB/T19001-2016\GB/T24001-2016\GB/T28001-2011</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一、管理评审计划，由行政部</w:t>
            </w:r>
            <w:r>
              <w:rPr>
                <w:rFonts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ascii="宋体" w:hAnsi="宋体"/>
                <w:szCs w:val="21"/>
              </w:rPr>
              <w:t>15</w:t>
            </w:r>
            <w:r>
              <w:rPr>
                <w:rFonts w:hint="eastAsia" w:ascii="宋体" w:hAnsi="宋体"/>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牛金燕，</w:t>
            </w:r>
            <w:r>
              <w:rPr>
                <w:rFonts w:hint="eastAsia" w:ascii="宋体" w:hAnsi="宋体"/>
                <w:szCs w:val="21"/>
              </w:rPr>
              <w:t>管理者代表：</w:t>
            </w:r>
            <w:r>
              <w:rPr>
                <w:rFonts w:hint="eastAsia" w:ascii="宋体" w:hAnsi="宋体"/>
                <w:szCs w:val="21"/>
                <w:lang w:val="en-US" w:eastAsia="zh-CN"/>
              </w:rPr>
              <w:t>刘二涛，</w:t>
            </w:r>
            <w:r>
              <w:rPr>
                <w:rFonts w:hint="eastAsia" w:ascii="宋体" w:hAnsi="宋体"/>
                <w:szCs w:val="21"/>
              </w:rPr>
              <w:t>安全事务代表：</w:t>
            </w:r>
            <w:r>
              <w:rPr>
                <w:rFonts w:hint="eastAsia" w:ascii="宋体" w:hAnsi="宋体"/>
                <w:szCs w:val="21"/>
                <w:lang w:val="en-US" w:eastAsia="zh-CN"/>
              </w:rPr>
              <w:t>李兰兰</w:t>
            </w:r>
            <w:r>
              <w:rPr>
                <w:rFonts w:hint="eastAsia" w:ascii="宋体" w:hAnsi="宋体"/>
                <w:szCs w:val="21"/>
              </w:rPr>
              <w:t>，</w:t>
            </w:r>
            <w:r>
              <w:rPr>
                <w:rFonts w:hint="eastAsia" w:ascii="宋体" w:hAnsi="宋体"/>
                <w:szCs w:val="21"/>
                <w:lang w:val="en-US" w:eastAsia="zh-CN"/>
              </w:rPr>
              <w:t>办公室</w:t>
            </w:r>
            <w:r>
              <w:rPr>
                <w:rFonts w:hint="eastAsia" w:ascii="宋体" w:hAnsi="宋体"/>
                <w:szCs w:val="21"/>
              </w:rPr>
              <w:t>主任：</w:t>
            </w:r>
            <w:r>
              <w:rPr>
                <w:rFonts w:hint="eastAsia" w:ascii="宋体" w:hAnsi="宋体"/>
                <w:szCs w:val="21"/>
                <w:lang w:val="en-US" w:eastAsia="zh-CN"/>
              </w:rPr>
              <w:t>刘二涛</w:t>
            </w:r>
            <w:r>
              <w:rPr>
                <w:rFonts w:hint="eastAsia" w:ascii="宋体" w:hAnsi="宋体"/>
                <w:szCs w:val="21"/>
              </w:rPr>
              <w:t>，生产部主任（厂长）：</w:t>
            </w:r>
            <w:r>
              <w:rPr>
                <w:rFonts w:hint="eastAsia" w:ascii="宋体" w:hAnsi="宋体"/>
                <w:szCs w:val="21"/>
                <w:lang w:val="en-US" w:eastAsia="zh-CN"/>
              </w:rPr>
              <w:t>王艳明</w:t>
            </w:r>
            <w:r>
              <w:rPr>
                <w:rFonts w:hint="eastAsia" w:ascii="宋体" w:hAnsi="宋体"/>
                <w:szCs w:val="21"/>
              </w:rPr>
              <w:t>，</w:t>
            </w:r>
            <w:r>
              <w:rPr>
                <w:rFonts w:hint="eastAsia" w:ascii="宋体" w:hAnsi="宋体"/>
                <w:szCs w:val="21"/>
                <w:lang w:val="en-US" w:eastAsia="zh-CN"/>
              </w:rPr>
              <w:t>业务</w:t>
            </w:r>
            <w:r>
              <w:rPr>
                <w:rFonts w:hint="eastAsia" w:ascii="宋体" w:hAnsi="宋体"/>
                <w:szCs w:val="21"/>
              </w:rPr>
              <w:t>部主管：</w:t>
            </w:r>
            <w:r>
              <w:rPr>
                <w:rFonts w:hint="eastAsia" w:ascii="宋体" w:hAnsi="宋体"/>
                <w:szCs w:val="21"/>
                <w:lang w:val="en-US" w:eastAsia="zh-CN"/>
              </w:rPr>
              <w:t>郭春兰</w:t>
            </w:r>
            <w:r>
              <w:rPr>
                <w:rFonts w:hint="eastAsia" w:ascii="宋体" w:hAnsi="宋体"/>
                <w:szCs w:val="21"/>
              </w:rPr>
              <w:t>，</w:t>
            </w:r>
            <w:r>
              <w:rPr>
                <w:rFonts w:hint="eastAsia" w:ascii="宋体" w:hAnsi="宋体"/>
                <w:szCs w:val="21"/>
                <w:lang w:val="en-US" w:eastAsia="zh-CN"/>
              </w:rPr>
              <w:t>财务</w:t>
            </w:r>
            <w:r>
              <w:rPr>
                <w:rFonts w:hint="eastAsia" w:ascii="宋体" w:hAnsi="宋体"/>
                <w:szCs w:val="21"/>
              </w:rPr>
              <w:t>部经理：</w:t>
            </w:r>
            <w:r>
              <w:rPr>
                <w:rFonts w:hint="eastAsia" w:ascii="宋体" w:hAnsi="宋体"/>
                <w:szCs w:val="21"/>
                <w:lang w:val="en-US" w:eastAsia="zh-CN"/>
              </w:rPr>
              <w:t>乔斌</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b/>
                <w:color w:val="000000"/>
                <w:sz w:val="20"/>
                <w:szCs w:val="20"/>
              </w:rPr>
            </w:pPr>
            <w:r>
              <w:rPr>
                <w:rFonts w:hint="eastAsia" w:ascii="宋体" w:hAnsi="宋体" w:cs="宋体"/>
                <w:szCs w:val="21"/>
                <w:u w:val="single"/>
              </w:rPr>
              <w:t>提供</w:t>
            </w:r>
            <w:r>
              <w:rPr>
                <w:rFonts w:hint="eastAsia" w:ascii="宋体" w:hAnsi="宋体" w:cs="宋体"/>
                <w:szCs w:val="21"/>
                <w:u w:val="single"/>
                <w:lang w:val="en-US" w:eastAsia="zh-CN"/>
              </w:rPr>
              <w:t>了</w:t>
            </w:r>
            <w:r>
              <w:rPr>
                <w:rFonts w:hint="eastAsia" w:ascii="宋体" w:hAnsi="宋体" w:cs="宋体"/>
                <w:szCs w:val="21"/>
                <w:u w:val="single"/>
              </w:rPr>
              <w:t>废气、噪声监测合格的证据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205" w:firstLineChars="98"/>
              <w:rPr>
                <w:b/>
                <w:color w:val="000000"/>
                <w:sz w:val="20"/>
                <w:szCs w:val="20"/>
                <w:u w:val="single"/>
              </w:rPr>
            </w:pPr>
            <w:r>
              <w:rPr>
                <w:rFonts w:hint="eastAsia" w:ascii="宋体" w:hAnsi="宋体" w:cs="宋体"/>
                <w:szCs w:val="21"/>
                <w:u w:val="single"/>
              </w:rPr>
              <w:t>提供关键岗位员工健康查体合格的证据。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lang w:val="en-US" w:eastAsia="zh-CN"/>
              </w:rPr>
              <w:t>无</w:t>
            </w:r>
            <w:r>
              <w:rPr>
                <w:rFonts w:hint="eastAsia"/>
                <w:color w:val="000000"/>
                <w:spacing w:val="-2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5" o:spt="20" style="position:absolute;left:0pt;margin-left:210pt;margin-top:16.2pt;height:0pt;width:0pt;z-index:251663360;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0"/>
              </w:rPr>
              <w:t>课桌椅、餐桌椅、上下床、公寓床、文件柜、密集柜、排椅、办公桌、办公柜的生产</w:t>
            </w:r>
          </w:p>
          <w:p>
            <w:pPr>
              <w:spacing w:line="320" w:lineRule="exact"/>
              <w:rPr>
                <w:rFonts w:ascii="宋体" w:hAnsi="宋体"/>
                <w:b/>
                <w:color w:val="000000" w:themeColor="text1"/>
                <w:u w:val="single"/>
              </w:rPr>
            </w:pP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课桌椅、餐桌椅、上下床、公寓床、文件柜、密集柜、排椅、办公桌、办公柜的生产所涉及场所的相关环境管理活动</w:t>
            </w:r>
          </w:p>
          <w:p>
            <w:pPr>
              <w:spacing w:line="320" w:lineRule="exact"/>
              <w:rPr>
                <w:rFonts w:ascii="宋体" w:hAnsi="宋体"/>
                <w:b/>
                <w:color w:val="000000" w:themeColor="text1"/>
                <w:u w:val="single"/>
                <w:lang w:val="en-GB"/>
              </w:rPr>
            </w:pP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课桌椅、餐桌椅、上下床、公寓床、文件柜、密集柜、排椅、办公桌、办公柜的生产所涉及场所的相关职业健康安全管理活动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5"/>
        </w:numPr>
        <w:spacing w:before="156" w:beforeLines="50" w:after="156" w:afterLines="50"/>
        <w:ind w:left="62" w:leftChars="-405" w:hanging="912" w:hangingChars="326"/>
        <w:rPr>
          <w:rFonts w:hint="eastAsia"/>
          <w:b/>
          <w:color w:val="000000" w:themeColor="text1"/>
          <w:sz w:val="26"/>
          <w:szCs w:val="26"/>
          <w:lang w:val="en-US" w:eastAsia="zh-CN"/>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numPr>
          <w:numId w:val="0"/>
        </w:numPr>
        <w:spacing w:before="156" w:beforeLines="50" w:after="156" w:afterLines="50"/>
        <w:ind w:leftChars="-731" w:firstLine="660" w:firstLineChars="300"/>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1462405</wp:posOffset>
            </wp:positionH>
            <wp:positionV relativeFrom="paragraph">
              <wp:posOffset>305435</wp:posOffset>
            </wp:positionV>
            <wp:extent cx="847090" cy="713740"/>
            <wp:effectExtent l="0" t="0" r="3810" b="10160"/>
            <wp:wrapNone/>
            <wp:docPr id="4"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1645285</wp:posOffset>
            </wp:positionH>
            <wp:positionV relativeFrom="paragraph">
              <wp:posOffset>352425</wp:posOffset>
            </wp:positionV>
            <wp:extent cx="754380" cy="403225"/>
            <wp:effectExtent l="0" t="0" r="7620" b="3175"/>
            <wp:wrapNone/>
            <wp:docPr id="5" name="图片 5"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655955</wp:posOffset>
            </wp:positionH>
            <wp:positionV relativeFrom="paragraph">
              <wp:posOffset>83820</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6 </w:t>
      </w:r>
      <w:r>
        <w:rPr>
          <w:rFonts w:hint="eastAsia"/>
          <w:b/>
          <w:color w:val="000000" w:themeColor="text1"/>
          <w:szCs w:val="21"/>
        </w:rPr>
        <w:t>月</w:t>
      </w:r>
      <w:r>
        <w:rPr>
          <w:rFonts w:hint="eastAsia"/>
          <w:b/>
          <w:color w:val="000000" w:themeColor="text1"/>
          <w:szCs w:val="21"/>
          <w:lang w:val="en-US" w:eastAsia="zh-CN"/>
        </w:rPr>
        <w:t xml:space="preserve"> 7 </w:t>
      </w:r>
      <w:r>
        <w:rPr>
          <w:rFonts w:hint="eastAsia"/>
          <w:b/>
          <w:color w:val="000000" w:themeColor="text1"/>
          <w:szCs w:val="21"/>
        </w:rPr>
        <w:t>日</w:t>
      </w:r>
    </w:p>
    <w:p>
      <w:pPr>
        <w:numPr>
          <w:ilvl w:val="0"/>
          <w:numId w:val="6"/>
        </w:numPr>
        <w:spacing w:before="156" w:beforeLines="50" w:after="156" w:afterLines="50"/>
        <w:ind w:left="1" w:leftChars="-405" w:hanging="851" w:hangingChars="326"/>
        <w:rPr>
          <w:rFonts w:hint="eastAsia"/>
          <w:b/>
          <w:color w:val="000000" w:themeColor="text1"/>
          <w:sz w:val="26"/>
          <w:szCs w:val="26"/>
        </w:rPr>
      </w:pPr>
      <w:r>
        <w:rPr>
          <w:rFonts w:hint="eastAsia"/>
          <w:b/>
          <w:color w:val="000000" w:themeColor="text1"/>
          <w:sz w:val="26"/>
          <w:szCs w:val="26"/>
        </w:rPr>
        <w:t>与末次会议结论不同处的说明和其他说明：(技术委员会填写)</w:t>
      </w:r>
    </w:p>
    <w:p>
      <w:pPr>
        <w:numPr>
          <w:ilvl w:val="0"/>
          <w:numId w:val="6"/>
        </w:num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9"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50C1C"/>
    <w:multiLevelType w:val="singleLevel"/>
    <w:tmpl w:val="1BB50C1C"/>
    <w:lvl w:ilvl="0" w:tentative="0">
      <w:start w:val="13"/>
      <w:numFmt w:val="chineseCounting"/>
      <w:suff w:val="space"/>
      <w:lvlText w:val="%1、"/>
      <w:lvlJc w:val="left"/>
      <w:rPr>
        <w:rFonts w:hint="eastAsia"/>
      </w:rPr>
    </w:lvl>
  </w:abstractNum>
  <w:abstractNum w:abstractNumId="1">
    <w:nsid w:val="33638A8C"/>
    <w:multiLevelType w:val="singleLevel"/>
    <w:tmpl w:val="33638A8C"/>
    <w:lvl w:ilvl="0" w:tentative="0">
      <w:start w:val="5"/>
      <w:numFmt w:val="decimal"/>
      <w:suff w:val="nothing"/>
      <w:lvlText w:val="%1、"/>
      <w:lvlJc w:val="left"/>
      <w:pPr>
        <w:ind w:left="-1"/>
      </w:pPr>
      <w:rPr>
        <w:rFonts w:cs="Times New Roman"/>
      </w:r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01326C"/>
    <w:multiLevelType w:val="singleLevel"/>
    <w:tmpl w:val="5901326C"/>
    <w:lvl w:ilvl="0" w:tentative="0">
      <w:start w:val="16"/>
      <w:numFmt w:val="chineseCounting"/>
      <w:suff w:val="nothing"/>
      <w:lvlText w:val="%1、"/>
      <w:lvlJc w:val="left"/>
      <w:rPr>
        <w:rFonts w:hint="eastAsia"/>
      </w:rPr>
    </w:lvl>
  </w:abstractNum>
  <w:abstractNum w:abstractNumId="5">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A921B6"/>
    <w:rsid w:val="26045AD6"/>
    <w:rsid w:val="74371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99"/>
    <w:pPr>
      <w:spacing w:after="120"/>
      <w:ind w:left="420" w:leftChars="200"/>
    </w:pPr>
    <w:rPr>
      <w:rFonts w:ascii="Calibri" w:hAnsi="Calibri"/>
      <w:kern w:val="0"/>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qFormat/>
    <w:uiPriority w:val="99"/>
    <w:pPr>
      <w:spacing w:after="0"/>
      <w:ind w:left="0" w:leftChars="0" w:firstLine="420" w:firstLineChars="200"/>
      <w:jc w:val="left"/>
    </w:pPr>
    <w:rPr>
      <w:rFonts w:ascii="宋体" w:hAnsi="宋体" w:eastAsia="仿宋_GB2312"/>
      <w:color w:val="00000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Hyperlink"/>
    <w:basedOn w:val="11"/>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2021-06-05T04:06:04Z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4887519EA17A47FCB2BFA4D8041238F8</vt:lpwstr>
  </property>
</Properties>
</file>