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758"/>
        <w:gridCol w:w="2037"/>
        <w:gridCol w:w="1293"/>
        <w:gridCol w:w="18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霸州市三合众鑫家具有限责任公司</w:t>
            </w:r>
            <w:bookmarkEnd w:id="4"/>
          </w:p>
        </w:tc>
        <w:tc>
          <w:tcPr>
            <w:tcW w:w="129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3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本公司以外购钢板、钢架、带钢为原料，经过裁剪、折弯、钻孔、焊接、抛丸、喷涂、固化、组装等过程后成校用家具。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特殊过程：焊接、喷涂过程；关键过程：组装、焊接、喷涂过程。制定了作业指导书和安全操作规程加以控制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提供了“重要环境因素清单”</w:t>
            </w:r>
          </w:p>
          <w:p>
            <w:pPr>
              <w:rPr>
                <w:rFonts w:hint="default" w:eastAsia="新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的排放</w:t>
            </w:r>
            <w:r>
              <w:rPr>
                <w:sz w:val="21"/>
                <w:szCs w:val="21"/>
              </w:rPr>
              <w:t xml:space="preserve">    2.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噪声排放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潜在火灾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   4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、固体废物排放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制定了管理方案和应急预案进入控制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提供了“不可接受风险清单”</w:t>
            </w:r>
          </w:p>
          <w:p>
            <w:pPr>
              <w:rPr>
                <w:rFonts w:hint="default" w:eastAsia="宋体"/>
                <w:bCs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机械伤害</w:t>
            </w:r>
            <w:r>
              <w:rPr>
                <w:sz w:val="21"/>
                <w:szCs w:val="21"/>
              </w:rPr>
              <w:t xml:space="preserve">    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新冠病毒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</w:rPr>
              <w:t>职业病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4.火灾爆炸 5.触电，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制定了管理方案和应急预案进入控制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金属家具通用技术条件GB/T3325-2017、室内装饰装修材料人造板及其制品中甲醛释放限量GB18580-2017、室内装饰装修材料木家具中有害物质限量GB18584-2001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对外观尺寸、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邻边垂直度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翘曲度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平整度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位差度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等按标准要求进行检验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9072B2E"/>
    <w:rsid w:val="75BD3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2021-06-02T07:27:27Z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EE6F59B9903A406A9E6A85E37EE59E8C</vt:lpwstr>
  </property>
</Properties>
</file>