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成都鑫泽机械有限公司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程万荣</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程万荣、胡琳</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程万荣</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程万荣、胡琳</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778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