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21335-2025-QEO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226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深圳市南天门网络信息有限公司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王邦权、李毅宏、林郁</w:t>
            </w:r>
            <w:r>
              <w:rPr>
                <w:rFonts w:hint="eastAsia"/>
              </w:rPr>
              <w:t xml:space="preserve"> </w:t>
            </w:r>
            <w:r>
              <w:rPr>
                <w:rFonts w:hint="eastAsia"/>
              </w:rPr>
              <w:t>李毅宏</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233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深圳市南天门网络信息有限公司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2025-N1EMS-1495970</w:t>
            </w:r>
          </w:p>
        </w:tc>
        <w:tc>
          <w:tcPr>
            <w:tcW w:w="3145" w:type="dxa"/>
            <w:vAlign w:val="center"/>
          </w:tcPr>
          <w:p w14:paraId="1EF07270">
            <w:pPr>
              <w:spacing w:line="360" w:lineRule="exact"/>
              <w:jc w:val="center"/>
              <w:rPr>
                <w:szCs w:val="21"/>
              </w:rPr>
            </w:pPr>
            <w:r>
              <w:t>29.09.01,33.02.01,33.02.02,34.05.00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2024-N1QMS-1495970</w:t>
            </w:r>
          </w:p>
        </w:tc>
        <w:tc>
          <w:tcPr>
            <w:tcW w:w="3145" w:type="dxa"/>
            <w:vAlign w:val="center"/>
          </w:tcPr>
          <w:p w14:paraId="0773CEA1">
            <w:pPr>
              <w:spacing w:line="360" w:lineRule="exact"/>
              <w:jc w:val="center"/>
            </w:pPr>
            <w:r>
              <w:t>29.09.01,33.02.01,33.02.02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r>
              <w:t>29.09.01,33.02.01,33.02.02,34.05.00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李毅宏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14230319971019361X</w:t>
            </w:r>
          </w:p>
        </w:tc>
        <w:tc>
          <w:tcPr>
            <w:tcW w:w="3145" w:type="dxa"/>
            <w:vAlign w:val="center"/>
          </w:tcPr>
          <w:p>
            <w:pPr>
              <w:jc w:val="center"/>
            </w:pPr>
            <w:r>
              <w:t>19.02.00,34.05.00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李毅宏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14230319971019361X</w:t>
            </w:r>
          </w:p>
        </w:tc>
        <w:tc>
          <w:tcPr>
            <w:tcW w:w="3145" w:type="dxa"/>
            <w:vAlign w:val="center"/>
          </w:tcPr>
          <w:p>
            <w:pPr>
              <w:jc w:val="center"/>
            </w:pPr>
            <w:r>
              <w:t>19.02.00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李毅宏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14230319971019361X</w:t>
            </w:r>
          </w:p>
        </w:tc>
        <w:tc>
          <w:tcPr>
            <w:tcW w:w="3145" w:type="dxa"/>
            <w:vAlign w:val="center"/>
          </w:tcPr>
          <w:p>
            <w:pPr>
              <w:jc w:val="center"/>
            </w:pPr>
            <w:r>
              <w:t>19.02.00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29.09.01,33.02.01,34.05.00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29.09.01,33.02.01,34.05.00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29.09.01,33.02.01,33.02.02,34.05.00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2025年09月13日下午至2025年09月15日下午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E:网络技术开发，电脑软硬件开发及销售，展览展示工程的设计所涉及场所的相关环境管理活动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Q:网络技术开发，电脑软硬件开发及销售，展览展示工程的设计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O:网络技术开发，电脑软硬件开发及销售，展览展示工程的设计所涉及场所的相关职业健康安全管理活动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深圳市宝安区新桥街道黄埔社区洪田路155号创新智慧港1栋701</w:t>
      </w:r>
    </w:p>
    <w:p w14:paraId="5FB2C4BD">
      <w:pPr>
        <w:spacing w:line="360" w:lineRule="auto"/>
        <w:ind w:firstLine="420" w:firstLineChars="200"/>
      </w:pPr>
      <w:r>
        <w:rPr>
          <w:rFonts w:hint="eastAsia"/>
        </w:rPr>
        <w:t>办公地址：</w:t>
      </w:r>
      <w:r>
        <w:rPr>
          <w:rFonts w:hint="eastAsia"/>
        </w:rPr>
        <w:t>深圳市宝安区新桥街道黄埔社区洪田路155号创新智慧港1栋701</w:t>
      </w:r>
    </w:p>
    <w:p w14:paraId="3E2A92FF">
      <w:pPr>
        <w:spacing w:line="360" w:lineRule="auto"/>
        <w:ind w:firstLine="420" w:firstLineChars="200"/>
      </w:pPr>
      <w:r>
        <w:rPr>
          <w:rFonts w:hint="eastAsia"/>
        </w:rPr>
        <w:t>经营地址：</w:t>
      </w:r>
      <w:bookmarkStart w:id="14" w:name="生产地址"/>
      <w:bookmarkEnd w:id="14"/>
      <w:r>
        <w:rPr>
          <w:rFonts w:hint="eastAsia"/>
        </w:rPr>
        <w:t>深圳市宝安区新桥街道黄埔社区洪田路155号创新智慧港1栋701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2025年09月12日 09:00至2025年09月12日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深圳市南天门网络信息有限公司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王邦权、李毅宏、林郁</w:t>
      </w:r>
      <w:r>
        <w:rPr>
          <w:rFonts w:hint="eastAsia"/>
        </w:rPr>
        <w:t xml:space="preserve">  </w:t>
      </w:r>
      <w:r>
        <w:rPr>
          <w:rFonts w:hint="eastAsia"/>
          <w:b/>
          <w:color w:val="auto"/>
          <w:kern w:val="2"/>
          <w:sz w:val="21"/>
          <w:lang w:val="en-GB"/>
        </w:rPr>
        <w:t>李毅宏</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232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