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21124-2025-EO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经登（盐城）执行器工程技术有限公司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杜万成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91320923MA20GPDC76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经登（盐城）执行器工程技术有限公司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阜宁经济开发区庐山路8号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阜宁经济开发区庐山路8号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E:气动执行器、电液联动执行器制造及阀门的销售所涉及场所的相关环境管理活动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O:气动执行器、电液联动执行器制造及阀门的销售所涉及场所的相关职业健康安全管理活动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经登（盐城）执行器工程技术有限公司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阜宁经济开发区庐山路8号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阜宁经济开发区庐山路8号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E:气动执行器、电液联动执行器制造及阀门的销售所涉及场所的相关环境管理活动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O:气动执行器、电液联动执行器制造及阀门的销售所涉及场所的相关职业健康安全管理活动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348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