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山东中恒景新碳纤维科技发展有限公司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0098-2019-2021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0098-2019-2021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620"/>
        <w:gridCol w:w="2000"/>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山东中恒景新碳纤维科技发展有限公司</w:t>
            </w:r>
            <w:bookmarkEnd w:id="4"/>
          </w:p>
        </w:tc>
        <w:tc>
          <w:tcPr>
            <w:tcW w:w="2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5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lang w:val="en-US" w:eastAsia="zh-CN"/>
              </w:rPr>
              <w:t>张乃鑫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ISC-2019-0443</w:t>
            </w:r>
            <w:bookmarkEnd w:id="5"/>
          </w:p>
        </w:tc>
        <w:tc>
          <w:tcPr>
            <w:tcW w:w="2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5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2024年07月01日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二</w:t>
            </w:r>
            <w:r>
              <w:rPr>
                <w:rFonts w:hint="eastAsia" w:ascii="宋体" w:hAnsi="宋体" w:cs="宋体"/>
                <w:kern w:val="0"/>
                <w:szCs w:val="21"/>
              </w:rPr>
              <w:t>次监督审核</w:t>
            </w:r>
          </w:p>
        </w:tc>
        <w:tc>
          <w:tcPr>
            <w:tcW w:w="2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5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审核开始日"/>
            <w:r>
              <w:rPr>
                <w:rFonts w:cs="宋体" w:asciiTheme="minorEastAsia" w:hAnsiTheme="minorEastAsia"/>
                <w:kern w:val="0"/>
                <w:szCs w:val="21"/>
              </w:rPr>
              <w:t xml:space="preserve">2021年06月02日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hint="eastAsia" w:cs="宋体" w:asciiTheme="minorEastAsia" w:hAnsiTheme="minorEastAsia"/>
                <w:bCs/>
                <w:kern w:val="0"/>
                <w:szCs w:val="21"/>
              </w:rPr>
              <w:t>监督审核员</w:t>
            </w:r>
          </w:p>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hint="eastAsia" w:cs="宋体" w:asciiTheme="minorEastAsia" w:hAnsiTheme="minorEastAsia"/>
                <w:bCs/>
                <w:kern w:val="0"/>
                <w:szCs w:val="21"/>
              </w:rPr>
              <w:t>姓名及确认号</w:t>
            </w:r>
          </w:p>
        </w:tc>
        <w:tc>
          <w:tcPr>
            <w:tcW w:w="2620" w:type="dxa"/>
          </w:tcPr>
          <w:p>
            <w:pPr>
              <w:tabs>
                <w:tab w:val="left" w:pos="880"/>
              </w:tabs>
              <w:autoSpaceDE w:val="0"/>
              <w:autoSpaceDN w:val="0"/>
              <w:adjustRightInd w:val="0"/>
              <w:spacing w:before="35" w:line="276" w:lineRule="auto"/>
              <w:ind w:right="161"/>
              <w:rPr>
                <w:rFonts w:hint="eastAsia" w:cs="宋体" w:asciiTheme="minorEastAsia" w:hAnsiTheme="minorEastAsia"/>
                <w:bCs/>
                <w:kern w:val="0"/>
                <w:szCs w:val="21"/>
              </w:rPr>
            </w:pPr>
            <w:r>
              <w:rPr>
                <w:rFonts w:hint="eastAsia" w:cs="宋体" w:asciiTheme="minorEastAsia" w:hAnsiTheme="minorEastAsia"/>
                <w:bCs/>
                <w:kern w:val="0"/>
                <w:szCs w:val="21"/>
                <w:lang w:eastAsia="zh-CN"/>
              </w:rPr>
              <w:t>李俐</w:t>
            </w:r>
            <w:r>
              <w:rPr>
                <w:rFonts w:hint="eastAsia" w:cs="宋体" w:asciiTheme="minorEastAsia" w:hAnsiTheme="minorEastAsia"/>
                <w:bCs/>
                <w:kern w:val="0"/>
                <w:szCs w:val="21"/>
                <w:lang w:val="en-US" w:eastAsia="zh-CN"/>
              </w:rPr>
              <w:t xml:space="preserve"> </w:t>
            </w:r>
            <w:r>
              <w:rPr>
                <w:rFonts w:cs="宋体" w:asciiTheme="minorEastAsia" w:hAnsiTheme="minorEastAsia"/>
                <w:bCs/>
                <w:kern w:val="0"/>
                <w:szCs w:val="21"/>
              </w:rPr>
              <w:t>ISC[S]00</w:t>
            </w:r>
            <w:r>
              <w:rPr>
                <w:rFonts w:hint="eastAsia" w:cs="宋体" w:asciiTheme="minorEastAsia" w:hAnsiTheme="minorEastAsia"/>
                <w:bCs/>
                <w:kern w:val="0"/>
                <w:szCs w:val="21"/>
                <w:lang w:val="en-US" w:eastAsia="zh-CN"/>
              </w:rPr>
              <w:t>08</w:t>
            </w:r>
          </w:p>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ascii="宋体" w:hAnsi="宋体" w:eastAsia="宋体" w:cs="Times New Roman"/>
                <w:szCs w:val="21"/>
              </w:rPr>
              <w:t>2021-M1MMS-2222792</w:t>
            </w:r>
          </w:p>
        </w:tc>
        <w:tc>
          <w:tcPr>
            <w:tcW w:w="2000" w:type="dxa"/>
          </w:tcPr>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cs="宋体" w:asciiTheme="minorEastAsia" w:hAnsiTheme="minorEastAsia"/>
                <w:bCs/>
                <w:kern w:val="0"/>
                <w:szCs w:val="21"/>
              </w:rPr>
              <w:t>监督审核涉及的区域或部门</w:t>
            </w:r>
          </w:p>
        </w:tc>
        <w:tc>
          <w:tcPr>
            <w:tcW w:w="2751" w:type="dxa"/>
          </w:tcPr>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hint="eastAsia" w:cs="宋体" w:asciiTheme="minorEastAsia" w:hAnsiTheme="minorEastAsia"/>
                <w:bCs/>
                <w:kern w:val="0"/>
                <w:szCs w:val="21"/>
                <w:lang w:val="en-US" w:eastAsia="zh-CN"/>
              </w:rPr>
              <w:t>行政部、质检部、市场部、售后服务部、生产部</w:t>
            </w:r>
            <w:r>
              <w:rPr>
                <w:rFonts w:hint="eastAsia" w:cs="宋体" w:asciiTheme="minorEastAsia" w:hAnsiTheme="minorEastAsia"/>
                <w:bCs/>
                <w:kern w:val="0"/>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eastAsia" w:ascii="宋体" w:hAnsi="宋体"/>
          <w:szCs w:val="21"/>
          <w:lang w:eastAsia="zh-CN"/>
        </w:rPr>
      </w:pPr>
      <w:r>
        <w:rPr>
          <w:rFonts w:ascii="宋体" w:hAnsi="宋体"/>
          <w:szCs w:val="21"/>
        </w:rPr>
        <w:t>一年内</w:t>
      </w:r>
      <w:r>
        <w:rPr>
          <w:rFonts w:hint="eastAsia" w:ascii="宋体" w:hAnsi="宋体"/>
          <w:szCs w:val="21"/>
        </w:rPr>
        <w:t>，公司日常运行中生产、经营、安全、销售及行政管理方面，未出现</w:t>
      </w:r>
      <w:r>
        <w:rPr>
          <w:rFonts w:ascii="宋体" w:hAnsi="宋体"/>
          <w:szCs w:val="21"/>
        </w:rPr>
        <w:t>违反法律</w:t>
      </w:r>
      <w:r>
        <w:rPr>
          <w:rFonts w:hint="eastAsia" w:ascii="宋体" w:hAnsi="宋体"/>
          <w:szCs w:val="21"/>
        </w:rPr>
        <w:t>、</w:t>
      </w:r>
      <w:r>
        <w:rPr>
          <w:rFonts w:ascii="宋体" w:hAnsi="宋体"/>
          <w:szCs w:val="21"/>
        </w:rPr>
        <w:t>法规</w:t>
      </w:r>
      <w:r>
        <w:rPr>
          <w:rFonts w:hint="eastAsia" w:ascii="宋体" w:hAnsi="宋体"/>
          <w:szCs w:val="21"/>
        </w:rPr>
        <w:t>问题或</w:t>
      </w:r>
      <w:r>
        <w:rPr>
          <w:rFonts w:ascii="宋体" w:hAnsi="宋体"/>
          <w:szCs w:val="21"/>
        </w:rPr>
        <w:t>重大事故</w:t>
      </w:r>
      <w:r>
        <w:rPr>
          <w:rFonts w:hint="eastAsia" w:ascii="宋体" w:hAnsi="宋体"/>
          <w:szCs w:val="21"/>
        </w:rPr>
        <w:t>发生</w:t>
      </w:r>
      <w:r>
        <w:rPr>
          <w:rFonts w:hint="eastAsia" w:ascii="宋体" w:hAnsi="宋体"/>
          <w:szCs w:val="21"/>
          <w:lang w:val="en-US" w:eastAsia="zh-CN"/>
        </w:rPr>
        <w:t>,</w:t>
      </w:r>
      <w:r>
        <w:rPr>
          <w:rFonts w:hint="eastAsia" w:ascii="宋体" w:hAnsi="宋体"/>
          <w:szCs w:val="21"/>
        </w:rPr>
        <w:t>满足要求</w:t>
      </w:r>
      <w:r>
        <w:rPr>
          <w:rFonts w:hint="eastAsia" w:ascii="宋体" w:hAnsi="宋体"/>
          <w:szCs w:val="21"/>
          <w:lang w:eastAsia="zh-CN"/>
        </w:rPr>
        <w:t>。</w:t>
      </w:r>
    </w:p>
    <w:p>
      <w:pPr>
        <w:widowControl/>
        <w:spacing w:line="360" w:lineRule="auto"/>
        <w:rPr>
          <w:rFonts w:ascii="宋体" w:hAnsi="宋体"/>
          <w:szCs w:val="21"/>
        </w:rPr>
      </w:pPr>
      <w:r>
        <w:rPr>
          <w:rFonts w:hint="eastAsia" w:ascii="宋体" w:hAnsi="宋体"/>
          <w:szCs w:val="21"/>
          <w:lang w:val="en-US" w:eastAsia="zh-CN"/>
        </w:rPr>
        <w:t>2.</w:t>
      </w:r>
      <w:r>
        <w:rPr>
          <w:rFonts w:ascii="宋体" w:hAnsi="宋体"/>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6</w:t>
      </w:r>
      <w:r>
        <w:rPr>
          <w:rFonts w:hint="eastAsia" w:ascii="宋体" w:hAnsi="宋体" w:cs="宋体"/>
          <w:bCs/>
          <w:kern w:val="0"/>
          <w:szCs w:val="21"/>
        </w:rPr>
        <w:t>月</w:t>
      </w:r>
      <w:r>
        <w:rPr>
          <w:rFonts w:hint="eastAsia" w:ascii="宋体" w:hAnsi="宋体" w:cs="宋体"/>
          <w:bCs/>
          <w:kern w:val="0"/>
          <w:szCs w:val="21"/>
          <w:lang w:val="en-US" w:eastAsia="zh-CN"/>
        </w:rPr>
        <w:t>2</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为有效评价公司体系运行的质量，掌握了企业测量管理体系的运行状况和品质。</w:t>
      </w:r>
    </w:p>
    <w:p>
      <w:pPr>
        <w:widowControl/>
        <w:spacing w:line="360" w:lineRule="auto"/>
        <w:ind w:firstLine="420" w:firstLineChars="200"/>
        <w:rPr>
          <w:rFonts w:hint="eastAsia" w:ascii="宋体" w:hAnsi="宋体" w:cs="宋体"/>
          <w:bCs/>
          <w:kern w:val="0"/>
          <w:szCs w:val="21"/>
          <w:lang w:eastAsia="zh-CN"/>
        </w:rPr>
      </w:pPr>
      <w:r>
        <w:rPr>
          <w:rFonts w:hint="eastAsia" w:ascii="宋体" w:hAnsi="宋体"/>
          <w:szCs w:val="21"/>
        </w:rPr>
        <w:t>公司测量管理体系的符合性、有效性及持续改进，符合GB/T 19022-2003标准要求，公司测量管理体系正常有序运行，较好地满足了公司生产、销售和持续发展的需要。</w:t>
      </w:r>
    </w:p>
    <w:p>
      <w:pPr>
        <w:widowControl/>
        <w:spacing w:line="360" w:lineRule="auto"/>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.内部审核和管理评审的情况：</w:t>
      </w:r>
    </w:p>
    <w:p>
      <w:pPr>
        <w:widowControl/>
        <w:spacing w:line="360" w:lineRule="auto"/>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.1内审情况：公司于202</w:t>
      </w:r>
      <w:r>
        <w:rPr>
          <w:rFonts w:hint="eastAsia" w:ascii="宋体" w:hAnsi="宋体"/>
          <w:color w:val="auto"/>
          <w:szCs w:val="21"/>
          <w:lang w:val="en-US" w:eastAsia="zh-CN"/>
        </w:rPr>
        <w:t>0</w:t>
      </w:r>
      <w:r>
        <w:rPr>
          <w:rFonts w:hint="eastAsia" w:ascii="宋体" w:hAnsi="宋体"/>
          <w:color w:val="auto"/>
          <w:szCs w:val="21"/>
          <w:lang w:eastAsia="zh-CN"/>
        </w:rPr>
        <w:t>年</w:t>
      </w:r>
      <w:r>
        <w:rPr>
          <w:rFonts w:hint="eastAsia" w:ascii="宋体" w:hAnsi="宋体"/>
          <w:color w:val="auto"/>
          <w:szCs w:val="21"/>
          <w:lang w:val="en-US" w:eastAsia="zh-CN"/>
        </w:rPr>
        <w:t>12</w:t>
      </w:r>
      <w:r>
        <w:rPr>
          <w:rFonts w:hint="eastAsia" w:ascii="宋体" w:hAnsi="宋体"/>
          <w:color w:val="auto"/>
          <w:szCs w:val="21"/>
          <w:lang w:eastAsia="zh-CN"/>
        </w:rPr>
        <w:t>月</w:t>
      </w:r>
      <w:r>
        <w:rPr>
          <w:rFonts w:hint="eastAsia" w:ascii="宋体" w:hAnsi="宋体"/>
          <w:color w:val="auto"/>
          <w:szCs w:val="21"/>
          <w:lang w:val="en-US" w:eastAsia="zh-CN"/>
        </w:rPr>
        <w:t>25</w:t>
      </w:r>
      <w:r>
        <w:rPr>
          <w:rFonts w:hint="eastAsia" w:ascii="宋体" w:hAnsi="宋体"/>
          <w:color w:val="auto"/>
          <w:szCs w:val="21"/>
          <w:lang w:eastAsia="zh-CN"/>
        </w:rPr>
        <w:t>日组织了公司测量管理体系，内审分</w:t>
      </w:r>
      <w:r>
        <w:rPr>
          <w:rFonts w:hint="eastAsia" w:ascii="宋体" w:hAnsi="宋体"/>
          <w:color w:val="auto"/>
          <w:szCs w:val="21"/>
          <w:lang w:val="en-US" w:eastAsia="zh-CN"/>
        </w:rPr>
        <w:t>2</w:t>
      </w:r>
      <w:r>
        <w:rPr>
          <w:rFonts w:hint="eastAsia" w:ascii="宋体" w:hAnsi="宋体"/>
          <w:color w:val="auto"/>
          <w:szCs w:val="21"/>
          <w:lang w:eastAsia="zh-CN"/>
        </w:rPr>
        <w:t>个组，对公司</w:t>
      </w:r>
      <w:r>
        <w:rPr>
          <w:rFonts w:hint="eastAsia" w:ascii="宋体" w:hAnsi="宋体"/>
          <w:color w:val="auto"/>
          <w:szCs w:val="21"/>
          <w:lang w:val="en-US" w:eastAsia="zh-CN"/>
        </w:rPr>
        <w:t>5</w:t>
      </w:r>
      <w:r>
        <w:rPr>
          <w:rFonts w:hint="eastAsia" w:ascii="宋体" w:hAnsi="宋体"/>
          <w:color w:val="auto"/>
          <w:szCs w:val="21"/>
          <w:lang w:eastAsia="zh-CN"/>
        </w:rPr>
        <w:t>个部门进行了全要素的审核，共开出了</w:t>
      </w:r>
      <w:r>
        <w:rPr>
          <w:rFonts w:hint="eastAsia" w:ascii="宋体" w:hAnsi="宋体"/>
          <w:color w:val="auto"/>
          <w:szCs w:val="21"/>
          <w:lang w:val="en-US" w:eastAsia="zh-CN"/>
        </w:rPr>
        <w:t>2</w:t>
      </w:r>
      <w:r>
        <w:rPr>
          <w:rFonts w:hint="eastAsia" w:ascii="宋体" w:hAnsi="宋体"/>
          <w:color w:val="auto"/>
          <w:szCs w:val="21"/>
          <w:lang w:eastAsia="zh-CN"/>
        </w:rPr>
        <w:t>不符合项，于</w:t>
      </w:r>
      <w:r>
        <w:rPr>
          <w:rFonts w:hint="eastAsia" w:ascii="宋体" w:hAnsi="宋体"/>
          <w:color w:val="auto"/>
          <w:szCs w:val="21"/>
          <w:lang w:val="en-US" w:eastAsia="zh-CN"/>
        </w:rPr>
        <w:t>12</w:t>
      </w:r>
      <w:r>
        <w:rPr>
          <w:rFonts w:hint="eastAsia" w:ascii="宋体" w:hAnsi="宋体"/>
          <w:color w:val="auto"/>
          <w:szCs w:val="21"/>
          <w:lang w:eastAsia="zh-CN"/>
        </w:rPr>
        <w:t>月</w:t>
      </w:r>
      <w:r>
        <w:rPr>
          <w:rFonts w:hint="eastAsia" w:ascii="宋体" w:hAnsi="宋体"/>
          <w:color w:val="auto"/>
          <w:szCs w:val="21"/>
          <w:lang w:val="en-US" w:eastAsia="zh-CN"/>
        </w:rPr>
        <w:t>28</w:t>
      </w:r>
      <w:r>
        <w:rPr>
          <w:rFonts w:hint="eastAsia" w:ascii="宋体" w:hAnsi="宋体"/>
          <w:color w:val="auto"/>
          <w:szCs w:val="21"/>
          <w:lang w:eastAsia="zh-CN"/>
        </w:rPr>
        <w:t>日完成整改。</w:t>
      </w:r>
    </w:p>
    <w:p>
      <w:pPr>
        <w:widowControl/>
        <w:spacing w:line="360" w:lineRule="auto"/>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.2管理评审情况：企业于</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r>
        <w:rPr>
          <w:rFonts w:hint="eastAsia" w:ascii="宋体" w:hAnsi="宋体"/>
          <w:color w:val="auto"/>
          <w:szCs w:val="21"/>
          <w:lang w:eastAsia="zh-CN"/>
        </w:rPr>
        <w:t>开展了单体系管理评审，会议由公司总经理</w:t>
      </w:r>
      <w:r>
        <w:rPr>
          <w:rFonts w:hint="eastAsia" w:ascii="宋体" w:hAnsi="宋体"/>
          <w:color w:val="auto"/>
          <w:szCs w:val="21"/>
          <w:lang w:val="en-US" w:eastAsia="zh-CN"/>
        </w:rPr>
        <w:t>吕明迪</w:t>
      </w:r>
      <w:r>
        <w:rPr>
          <w:rFonts w:hint="eastAsia" w:ascii="宋体" w:hAnsi="宋体"/>
          <w:color w:val="auto"/>
          <w:szCs w:val="21"/>
          <w:lang w:eastAsia="zh-CN"/>
        </w:rPr>
        <w:t>主持，由管理者代表</w:t>
      </w:r>
      <w:r>
        <w:rPr>
          <w:rFonts w:hint="eastAsia" w:ascii="宋体" w:hAnsi="宋体"/>
          <w:color w:val="auto"/>
          <w:szCs w:val="21"/>
          <w:lang w:val="en-US" w:eastAsia="zh-CN"/>
        </w:rPr>
        <w:t>张乃鑫</w:t>
      </w:r>
      <w:r>
        <w:rPr>
          <w:rFonts w:hint="eastAsia" w:ascii="宋体" w:hAnsi="宋体"/>
          <w:color w:val="auto"/>
          <w:szCs w:val="21"/>
          <w:lang w:eastAsia="zh-CN"/>
        </w:rPr>
        <w:t>汇报了体系运行情况。会议肯定了公司测量管理体系的充分性、有效性和适宜性。形成了管理评审报告，对公司测量管理体系目前存在的</w:t>
      </w:r>
      <w:r>
        <w:rPr>
          <w:rFonts w:hint="eastAsia" w:ascii="宋体" w:hAnsi="宋体"/>
          <w:color w:val="auto"/>
          <w:szCs w:val="21"/>
          <w:lang w:val="en-US" w:eastAsia="zh-CN"/>
        </w:rPr>
        <w:t>3</w:t>
      </w:r>
      <w:r>
        <w:rPr>
          <w:rFonts w:hint="eastAsia" w:ascii="宋体" w:hAnsi="宋体"/>
          <w:color w:val="auto"/>
          <w:szCs w:val="21"/>
          <w:lang w:eastAsia="zh-CN"/>
        </w:rPr>
        <w:t>个方面的问题落实了整改部门。</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lang w:val="en-US" w:eastAsia="zh-CN"/>
        </w:rPr>
        <w:t>4</w:t>
      </w:r>
      <w:r>
        <w:rPr>
          <w:rFonts w:hint="eastAsia" w:cs="宋体" w:asciiTheme="minorEastAsia" w:hAnsiTheme="minorEastAsia"/>
          <w:bCs/>
          <w:color w:val="auto"/>
          <w:kern w:val="0"/>
          <w:szCs w:val="21"/>
        </w:rPr>
        <w:t>.为持续改进而策划的活动的进展企业对识别的关键测量过程进行了持续的控制，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spacing w:line="360" w:lineRule="auto"/>
        <w:ind w:firstLine="210" w:firstLineChars="100"/>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抽油杆直径测量过程</w:t>
      </w:r>
      <w:r>
        <w:rPr>
          <w:rFonts w:hint="eastAsia"/>
          <w:color w:val="auto"/>
        </w:rPr>
        <w:t>计量测量过程，计量要求导出方法正确，验证满足测量过程要求。祥见附件《计量要求导出及验证记录表》</w:t>
      </w:r>
    </w:p>
    <w:p>
      <w:pPr>
        <w:widowControl/>
        <w:spacing w:line="360" w:lineRule="auto"/>
        <w:ind w:firstLine="210" w:firstLineChars="100"/>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抽油杆直径测量过程</w:t>
      </w:r>
      <w:r>
        <w:rPr>
          <w:rFonts w:hint="eastAsia"/>
          <w:color w:val="auto"/>
        </w:rPr>
        <w:t>，测量不确定度评定正确。祥见附件《测量不确定度评定》</w:t>
      </w:r>
    </w:p>
    <w:p>
      <w:pPr>
        <w:widowControl/>
        <w:spacing w:line="360" w:lineRule="auto"/>
        <w:ind w:firstLine="210" w:firstLineChars="100"/>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color w:val="auto"/>
          <w:kern w:val="0"/>
          <w:szCs w:val="21"/>
          <w:lang w:eastAsia="zh-CN"/>
        </w:rPr>
        <w:t>抽油杆直径测量过程</w:t>
      </w:r>
      <w:r>
        <w:rPr>
          <w:rFonts w:hint="eastAsia"/>
          <w:color w:val="auto"/>
        </w:rPr>
        <w:t>，采用</w:t>
      </w:r>
      <w:r>
        <w:rPr>
          <w:rFonts w:hint="eastAsia"/>
          <w:color w:val="auto"/>
          <w:lang w:val="en-US" w:eastAsia="zh-CN"/>
        </w:rPr>
        <w:t>与标准量块</w:t>
      </w:r>
      <w:r>
        <w:rPr>
          <w:rFonts w:hint="eastAsia"/>
          <w:color w:val="auto"/>
        </w:rPr>
        <w:t>进行比对进行有效性确认，满足要求。祥见附件《测量过程有效性确认》</w:t>
      </w:r>
    </w:p>
    <w:p>
      <w:pPr>
        <w:widowControl/>
        <w:spacing w:line="360" w:lineRule="auto"/>
        <w:ind w:firstLine="210" w:firstLineChars="100"/>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抽油杆直径测量过程</w:t>
      </w:r>
      <w:r>
        <w:rPr>
          <w:rFonts w:hint="eastAsia"/>
          <w:color w:val="auto"/>
        </w:rPr>
        <w:t>，编制了控制规范，对测量人员、测量设备、测量环境进行控制，满足要求。</w:t>
      </w:r>
    </w:p>
    <w:p>
      <w:pPr>
        <w:widowControl/>
        <w:spacing w:line="360" w:lineRule="auto"/>
        <w:ind w:firstLine="210" w:firstLineChars="100"/>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抽油杆直径测量过程</w:t>
      </w:r>
      <w:r>
        <w:rPr>
          <w:rFonts w:hint="eastAsia"/>
          <w:color w:val="auto"/>
        </w:rPr>
        <w:t>，</w:t>
      </w:r>
      <w:r>
        <w:rPr>
          <w:rFonts w:hint="eastAsia" w:cs="宋体" w:asciiTheme="minorEastAsia" w:hAnsiTheme="minorEastAsia"/>
          <w:color w:val="auto"/>
          <w:kern w:val="0"/>
          <w:szCs w:val="21"/>
        </w:rPr>
        <w:t>采用统计技术进行控制和监视测量过程。祥见《测量过程监视记录》</w:t>
      </w:r>
    </w:p>
    <w:p>
      <w:pPr>
        <w:widowControl/>
        <w:spacing w:line="360" w:lineRule="auto"/>
        <w:ind w:firstLine="210" w:firstLineChars="100"/>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w:t>
      </w:r>
      <w:r>
        <w:rPr>
          <w:rFonts w:hint="eastAsia" w:ascii="宋体" w:hAnsi="宋体" w:eastAsia="宋体"/>
          <w:bCs/>
          <w:color w:val="auto"/>
          <w:szCs w:val="21"/>
          <w:lang w:val="en-US" w:eastAsia="zh-CN"/>
        </w:rPr>
        <w:t>计量</w:t>
      </w:r>
      <w:r>
        <w:rPr>
          <w:rFonts w:hint="eastAsia" w:ascii="宋体" w:hAnsi="宋体" w:eastAsia="宋体"/>
          <w:bCs/>
          <w:color w:val="auto"/>
          <w:szCs w:val="21"/>
        </w:rPr>
        <w:t>标准，</w:t>
      </w:r>
      <w:r>
        <w:rPr>
          <w:rFonts w:hint="eastAsia"/>
          <w:color w:val="auto"/>
          <w:szCs w:val="21"/>
        </w:rPr>
        <w:t>测量设备送至</w:t>
      </w:r>
      <w:bookmarkStart w:id="7" w:name="_Hlk520194542"/>
      <w:r>
        <w:rPr>
          <w:rFonts w:hint="eastAsia"/>
          <w:color w:val="auto"/>
          <w:szCs w:val="21"/>
          <w:lang w:val="en-US" w:eastAsia="zh-CN"/>
        </w:rPr>
        <w:t>山东省黄河计量研究院</w:t>
      </w:r>
      <w:bookmarkEnd w:id="7"/>
      <w:r>
        <w:rPr>
          <w:rFonts w:hint="eastAsia"/>
          <w:color w:val="auto"/>
          <w:szCs w:val="21"/>
        </w:rPr>
        <w:t>检定、校准，抽查</w:t>
      </w:r>
      <w:r>
        <w:rPr>
          <w:rFonts w:hint="eastAsia"/>
          <w:color w:val="auto"/>
          <w:szCs w:val="21"/>
          <w:lang w:val="en-US" w:eastAsia="zh-CN"/>
        </w:rPr>
        <w:t>7</w:t>
      </w:r>
      <w:r>
        <w:rPr>
          <w:rFonts w:hint="eastAsia"/>
          <w:color w:val="auto"/>
          <w:szCs w:val="21"/>
        </w:rPr>
        <w:t>台件测量设备，符合量值溯源性管理的要求。祥见《测量设备溯源检查表》</w:t>
      </w:r>
    </w:p>
    <w:p>
      <w:pPr>
        <w:widowControl/>
        <w:spacing w:line="360" w:lineRule="auto"/>
        <w:rPr>
          <w:color w:val="auto"/>
          <w:szCs w:val="21"/>
        </w:rPr>
      </w:pPr>
      <w:r>
        <w:rPr>
          <w:rFonts w:hint="eastAsia"/>
          <w:color w:val="auto"/>
          <w:szCs w:val="21"/>
          <w:lang w:val="en-US" w:eastAsia="zh-CN"/>
        </w:rPr>
        <w:t>5.</w:t>
      </w:r>
      <w:r>
        <w:rPr>
          <w:rFonts w:hint="eastAsia"/>
          <w:color w:val="auto"/>
          <w:szCs w:val="21"/>
        </w:rPr>
        <w:t>能源管理情况：</w:t>
      </w:r>
    </w:p>
    <w:p>
      <w:pPr>
        <w:widowControl/>
        <w:spacing w:line="360" w:lineRule="auto"/>
        <w:ind w:firstLine="420" w:firstLineChars="200"/>
        <w:rPr>
          <w:rFonts w:hint="eastAsia"/>
          <w:color w:val="auto"/>
          <w:szCs w:val="21"/>
        </w:rPr>
      </w:pPr>
      <w:r>
        <w:rPr>
          <w:rFonts w:hint="eastAsia"/>
          <w:color w:val="auto"/>
          <w:szCs w:val="21"/>
        </w:rPr>
        <w:t>企业20</w:t>
      </w:r>
      <w:r>
        <w:rPr>
          <w:rFonts w:hint="eastAsia"/>
          <w:color w:val="auto"/>
          <w:szCs w:val="21"/>
          <w:lang w:val="en-US" w:eastAsia="zh-CN"/>
        </w:rPr>
        <w:t>20</w:t>
      </w:r>
      <w:r>
        <w:rPr>
          <w:rFonts w:hint="eastAsia"/>
          <w:color w:val="auto"/>
          <w:szCs w:val="21"/>
        </w:rPr>
        <w:t>年耗能</w:t>
      </w:r>
      <w:r>
        <w:rPr>
          <w:rFonts w:hint="eastAsia"/>
          <w:color w:val="auto"/>
          <w:szCs w:val="21"/>
          <w:lang w:val="en-US" w:eastAsia="zh-CN"/>
        </w:rPr>
        <w:t>20</w:t>
      </w:r>
      <w:r>
        <w:rPr>
          <w:rFonts w:hint="eastAsia"/>
          <w:color w:val="auto"/>
          <w:szCs w:val="21"/>
        </w:rPr>
        <w:t>吨标准煤。</w:t>
      </w:r>
      <w:r>
        <w:rPr>
          <w:rFonts w:hint="eastAsia"/>
          <w:color w:val="auto"/>
          <w:szCs w:val="21"/>
          <w:lang w:val="en-US" w:eastAsia="zh-CN"/>
        </w:rPr>
        <w:t>不是</w:t>
      </w:r>
      <w:r>
        <w:rPr>
          <w:rFonts w:hint="eastAsia"/>
          <w:color w:val="auto"/>
          <w:szCs w:val="21"/>
        </w:rPr>
        <w:t>重点耗能单位，能源测量设备配备率满足要求。</w:t>
      </w:r>
    </w:p>
    <w:p>
      <w:pPr>
        <w:widowControl/>
        <w:spacing w:line="360" w:lineRule="auto"/>
        <w:rPr>
          <w:rFonts w:hint="eastAsia"/>
          <w:color w:val="auto"/>
          <w:szCs w:val="21"/>
        </w:rPr>
      </w:pPr>
      <w:r>
        <w:rPr>
          <w:rFonts w:hint="eastAsia"/>
          <w:color w:val="auto"/>
          <w:szCs w:val="21"/>
          <w:lang w:val="en-US" w:eastAsia="zh-CN"/>
        </w:rPr>
        <w:t>6.</w:t>
      </w:r>
      <w:r>
        <w:rPr>
          <w:rFonts w:hint="eastAsia"/>
          <w:color w:val="auto"/>
          <w:szCs w:val="21"/>
        </w:rPr>
        <w:t>对认证审核时提出的的不符合项的纠正措施情况有表述： </w:t>
      </w:r>
    </w:p>
    <w:p>
      <w:pPr>
        <w:widowControl/>
        <w:spacing w:line="360" w:lineRule="auto"/>
        <w:ind w:firstLine="420" w:firstLineChars="200"/>
        <w:rPr>
          <w:rFonts w:hint="eastAsia"/>
          <w:color w:val="auto"/>
          <w:szCs w:val="21"/>
        </w:rPr>
      </w:pPr>
      <w:r>
        <w:rPr>
          <w:rFonts w:hint="eastAsia"/>
          <w:color w:val="auto"/>
          <w:szCs w:val="21"/>
        </w:rPr>
        <w:t>查20</w:t>
      </w:r>
      <w:r>
        <w:rPr>
          <w:rFonts w:hint="eastAsia"/>
          <w:color w:val="auto"/>
          <w:szCs w:val="21"/>
          <w:lang w:val="en-US" w:eastAsia="zh-CN"/>
        </w:rPr>
        <w:t>20</w:t>
      </w:r>
      <w:r>
        <w:rPr>
          <w:rFonts w:hint="eastAsia"/>
          <w:color w:val="auto"/>
          <w:szCs w:val="21"/>
        </w:rPr>
        <w:t>年外审开出了一项不符合项</w:t>
      </w:r>
      <w:r>
        <w:rPr>
          <w:rFonts w:hint="eastAsia"/>
          <w:color w:val="auto"/>
          <w:szCs w:val="21"/>
          <w:lang w:eastAsia="zh-CN"/>
        </w:rPr>
        <w:t>，</w:t>
      </w:r>
      <w:r>
        <w:rPr>
          <w:rFonts w:hint="eastAsia"/>
          <w:color w:val="auto"/>
          <w:szCs w:val="21"/>
        </w:rPr>
        <w:t>企业对不符合组织了纠正，验证该不符合项纠正措施有效，同意关闭。</w:t>
      </w:r>
    </w:p>
    <w:p>
      <w:pPr>
        <w:widowControl/>
        <w:spacing w:line="360" w:lineRule="auto"/>
        <w:rPr>
          <w:rFonts w:hint="eastAsia"/>
          <w:color w:val="auto"/>
          <w:szCs w:val="21"/>
        </w:rPr>
      </w:pPr>
      <w:r>
        <w:rPr>
          <w:rFonts w:hint="eastAsia"/>
          <w:color w:val="auto"/>
          <w:szCs w:val="21"/>
          <w:lang w:val="en-US" w:eastAsia="zh-CN"/>
        </w:rPr>
        <w:t>7.</w:t>
      </w:r>
      <w:r>
        <w:rPr>
          <w:rFonts w:hint="eastAsia"/>
          <w:color w:val="auto"/>
          <w:szCs w:val="21"/>
        </w:rPr>
        <w:t>对投诉的处理情况：</w:t>
      </w:r>
    </w:p>
    <w:p>
      <w:pPr>
        <w:widowControl/>
        <w:spacing w:line="360" w:lineRule="auto"/>
        <w:ind w:firstLine="420" w:firstLineChars="200"/>
        <w:rPr>
          <w:rFonts w:hint="eastAsia"/>
          <w:color w:val="auto"/>
          <w:szCs w:val="21"/>
        </w:rPr>
      </w:pPr>
      <w:r>
        <w:rPr>
          <w:rFonts w:hint="eastAsia"/>
          <w:color w:val="auto"/>
          <w:szCs w:val="21"/>
        </w:rPr>
        <w:t>企业2020年有未有顾客的投诉。企业未有违反法律、法规问题和产品质量问题的投诉或重大质量事故发生。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8.</w:t>
      </w: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360" w:lineRule="auto"/>
        <w:ind w:firstLine="420" w:firstLineChars="200"/>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6</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年1月到</w:t>
      </w:r>
      <w:r>
        <w:rPr>
          <w:rFonts w:hint="eastAsia" w:ascii="宋体" w:hAnsi="宋体" w:eastAsia="宋体"/>
          <w:bCs/>
          <w:color w:val="auto"/>
          <w:szCs w:val="21"/>
          <w:lang w:val="en-US" w:eastAsia="zh-CN"/>
        </w:rPr>
        <w:t>5</w:t>
      </w:r>
      <w:r>
        <w:rPr>
          <w:rFonts w:hint="eastAsia" w:ascii="宋体" w:hAnsi="宋体" w:eastAsia="宋体"/>
          <w:bCs/>
          <w:color w:val="auto"/>
          <w:szCs w:val="21"/>
        </w:rPr>
        <w:t>月质量目标完成情况检查表，按目标、措施、完成情况、未完成情况进行统计，记录内容全，每月统计，质量目标管理满足要求。</w:t>
      </w:r>
    </w:p>
    <w:p>
      <w:pPr>
        <w:widowControl/>
        <w:numPr>
          <w:ilvl w:val="0"/>
          <w:numId w:val="0"/>
        </w:numPr>
        <w:spacing w:line="360" w:lineRule="auto"/>
        <w:rPr>
          <w:rFonts w:asciiTheme="minorEastAsia" w:hAnsiTheme="minorEastAsia"/>
          <w:bCs/>
          <w:color w:val="auto"/>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对企业组织任何变更的审核</w:t>
      </w:r>
    </w:p>
    <w:p>
      <w:pPr>
        <w:widowControl/>
        <w:spacing w:line="360" w:lineRule="auto"/>
        <w:ind w:firstLine="210" w:firstLineChars="100"/>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0"/>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10</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360"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w:t>
      </w:r>
      <w:r>
        <w:rPr>
          <w:rFonts w:hint="eastAsia" w:cs="宋体" w:asciiTheme="minorEastAsia" w:hAnsiTheme="minorEastAsia"/>
          <w:bCs/>
          <w:color w:val="auto"/>
          <w:kern w:val="0"/>
          <w:szCs w:val="21"/>
          <w:lang w:val="en-US" w:eastAsia="zh-CN"/>
        </w:rPr>
        <w:t xml:space="preserve"> </w:t>
      </w:r>
      <w:bookmarkStart w:id="9" w:name="_GoBack"/>
      <w:bookmarkEnd w:id="9"/>
      <w:r>
        <w:rPr>
          <w:rFonts w:hint="eastAsia" w:cs="宋体" w:asciiTheme="minorEastAsia" w:hAnsiTheme="minorEastAsia"/>
          <w:bCs/>
          <w:color w:val="auto"/>
          <w:kern w:val="0"/>
          <w:szCs w:val="21"/>
        </w:rPr>
        <w:t>用于企业的形象宣传。</w:t>
      </w:r>
    </w:p>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lang w:val="en-US" w:eastAsia="zh-CN"/>
        </w:rPr>
        <w:t>11.</w:t>
      </w:r>
      <w:r>
        <w:rPr>
          <w:rFonts w:hint="eastAsia" w:ascii="宋体" w:hAnsi="宋体" w:eastAsia="宋体" w:cs="宋体"/>
          <w:color w:val="auto"/>
          <w:kern w:val="0"/>
          <w:szCs w:val="21"/>
        </w:rPr>
        <w:t xml:space="preserve"> 本次监督审核共出具一般不符合</w:t>
      </w:r>
      <w:r>
        <w:rPr>
          <w:rFonts w:hint="eastAsia" w:ascii="宋体" w:hAnsi="宋体" w:eastAsia="宋体" w:cs="宋体"/>
          <w:color w:val="auto"/>
          <w:kern w:val="0"/>
          <w:szCs w:val="21"/>
          <w:lang w:val="en-US" w:eastAsia="zh-CN"/>
        </w:rPr>
        <w:t>项1项</w:t>
      </w:r>
      <w:r>
        <w:rPr>
          <w:rFonts w:hint="eastAsia" w:ascii="宋体" w:hAnsi="宋体" w:eastAsia="宋体" w:cs="宋体"/>
          <w:color w:val="auto"/>
          <w:kern w:val="0"/>
          <w:szCs w:val="21"/>
        </w:rPr>
        <w:t>，未发现严重的或系统性的不符合情况：</w:t>
      </w:r>
    </w:p>
    <w:p>
      <w:pPr>
        <w:widowControl/>
        <w:spacing w:line="360" w:lineRule="auto"/>
        <w:rPr>
          <w:rFonts w:hint="eastAsia" w:cs="宋体" w:asciiTheme="minorEastAsia" w:hAnsiTheme="minorEastAsia"/>
          <w:bCs/>
          <w:color w:val="0070C0"/>
          <w:kern w:val="0"/>
          <w:szCs w:val="21"/>
        </w:rPr>
      </w:pPr>
      <w:r>
        <w:rPr>
          <w:rFonts w:hint="eastAsia" w:ascii="宋体" w:hAnsi="宋体" w:eastAsia="宋体" w:cs="Times New Roman"/>
          <w:color w:val="000000"/>
          <w:szCs w:val="21"/>
          <w:lang w:val="en-US" w:eastAsia="zh-CN"/>
        </w:rPr>
        <w:t>11.1查质检部，编号135708  巴氏硬度计，2020年10月28日经山东省计量科学研究院校准，未对其进行有效性确认，不符合GB/T19022-2003标准7.1.1 条的要求。</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1"/>
          <w:rFonts w:hint="eastAsia" w:ascii="宋体" w:hAnsi="宋体" w:eastAsia="宋体"/>
          <w:color w:val="000000" w:themeColor="text1"/>
          <w:sz w:val="21"/>
          <w:szCs w:val="21"/>
        </w:rPr>
        <w:t>通过20</w:t>
      </w:r>
      <w:r>
        <w:rPr>
          <w:rStyle w:val="11"/>
          <w:rFonts w:hint="eastAsia" w:ascii="宋体" w:hAnsi="宋体" w:eastAsia="宋体"/>
          <w:color w:val="000000" w:themeColor="text1"/>
          <w:sz w:val="21"/>
          <w:szCs w:val="21"/>
          <w:lang w:val="en-US" w:eastAsia="zh-CN"/>
        </w:rPr>
        <w:t>21</w:t>
      </w:r>
      <w:r>
        <w:rPr>
          <w:rStyle w:val="11"/>
          <w:rFonts w:ascii="宋体" w:hAnsi="宋体" w:eastAsia="宋体"/>
          <w:color w:val="000000" w:themeColor="text1"/>
          <w:sz w:val="21"/>
          <w:szCs w:val="21"/>
        </w:rPr>
        <w:t>年</w:t>
      </w:r>
      <w:r>
        <w:rPr>
          <w:rStyle w:val="11"/>
          <w:rFonts w:hint="eastAsia" w:ascii="宋体" w:hAnsi="宋体" w:eastAsia="宋体"/>
          <w:color w:val="000000" w:themeColor="text1"/>
          <w:sz w:val="21"/>
          <w:szCs w:val="21"/>
          <w:lang w:val="en-US" w:eastAsia="zh-CN"/>
        </w:rPr>
        <w:t>6</w:t>
      </w:r>
      <w:r>
        <w:rPr>
          <w:rStyle w:val="11"/>
          <w:rFonts w:ascii="宋体" w:hAnsi="宋体" w:eastAsia="宋体"/>
          <w:color w:val="000000" w:themeColor="text1"/>
          <w:sz w:val="21"/>
          <w:szCs w:val="21"/>
        </w:rPr>
        <w:t>月</w:t>
      </w:r>
      <w:r>
        <w:rPr>
          <w:rStyle w:val="11"/>
          <w:rFonts w:hint="eastAsia" w:ascii="宋体" w:hAnsi="宋体" w:eastAsia="宋体"/>
          <w:color w:val="000000" w:themeColor="text1"/>
          <w:sz w:val="21"/>
          <w:szCs w:val="21"/>
          <w:lang w:val="en-US" w:eastAsia="zh-CN"/>
        </w:rPr>
        <w:t>2</w:t>
      </w:r>
      <w:r>
        <w:rPr>
          <w:rStyle w:val="11"/>
          <w:rFonts w:ascii="宋体" w:hAnsi="宋体" w:eastAsia="宋体"/>
          <w:color w:val="000000" w:themeColor="text1"/>
          <w:sz w:val="21"/>
          <w:szCs w:val="21"/>
        </w:rPr>
        <w:t>日</w:t>
      </w:r>
      <w:r>
        <w:rPr>
          <w:rStyle w:val="11"/>
          <w:rFonts w:hint="eastAsia" w:ascii="宋体" w:hAnsi="宋体" w:eastAsia="宋体"/>
          <w:color w:val="000000" w:themeColor="text1"/>
          <w:sz w:val="21"/>
          <w:szCs w:val="21"/>
        </w:rPr>
        <w:t>，</w:t>
      </w:r>
      <w:r>
        <w:rPr>
          <w:rStyle w:val="11"/>
          <w:rFonts w:ascii="宋体" w:hAnsi="宋体" w:eastAsia="宋体"/>
          <w:color w:val="000000" w:themeColor="text1"/>
          <w:sz w:val="21"/>
          <w:szCs w:val="21"/>
        </w:rPr>
        <w:t>对</w:t>
      </w:r>
      <w:r>
        <w:rPr>
          <w:rFonts w:hint="eastAsia" w:ascii="宋体" w:hAnsi="宋体" w:eastAsia="宋体"/>
          <w:color w:val="000000" w:themeColor="text1"/>
          <w:szCs w:val="21"/>
          <w:lang w:eastAsia="zh-CN"/>
        </w:rPr>
        <w:t>山东中恒景新碳纤维科技发展有限公司</w:t>
      </w:r>
      <w:r>
        <w:rPr>
          <w:rStyle w:val="11"/>
          <w:rFonts w:hint="eastAsia" w:ascii="宋体" w:hAnsi="宋体" w:eastAsia="宋体"/>
          <w:color w:val="000000" w:themeColor="text1"/>
          <w:sz w:val="21"/>
          <w:szCs w:val="21"/>
        </w:rPr>
        <w:t>监督</w:t>
      </w:r>
      <w:r>
        <w:rPr>
          <w:rStyle w:val="11"/>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Pr>
          <w:rFonts w:hint="eastAsia" w:ascii="宋体" w:hAnsi="宋体"/>
          <w:color w:val="000000" w:themeColor="text1"/>
          <w:szCs w:val="21"/>
          <w:lang w:eastAsia="zh-CN"/>
        </w:rPr>
        <w:t>抽油杆直径测量过程</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360"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drawing>
          <wp:anchor distT="0" distB="0" distL="114300" distR="114300" simplePos="0" relativeHeight="251661312" behindDoc="0" locked="0" layoutInCell="1" allowOverlap="1">
            <wp:simplePos x="0" y="0"/>
            <wp:positionH relativeFrom="column">
              <wp:posOffset>1416050</wp:posOffset>
            </wp:positionH>
            <wp:positionV relativeFrom="paragraph">
              <wp:posOffset>84455</wp:posOffset>
            </wp:positionV>
            <wp:extent cx="327660" cy="259080"/>
            <wp:effectExtent l="0" t="0" r="254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7660" cy="259080"/>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2021.6.2</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drawing>
          <wp:anchor distT="0" distB="0" distL="114300" distR="114300" simplePos="0" relativeHeight="251662336" behindDoc="0" locked="0" layoutInCell="1" allowOverlap="1">
            <wp:simplePos x="0" y="0"/>
            <wp:positionH relativeFrom="column">
              <wp:posOffset>1447800</wp:posOffset>
            </wp:positionH>
            <wp:positionV relativeFrom="paragraph">
              <wp:posOffset>52070</wp:posOffset>
            </wp:positionV>
            <wp:extent cx="315595" cy="249555"/>
            <wp:effectExtent l="0" t="0" r="190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315595" cy="249555"/>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2021.6.2</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195768"/>
    <w:rsid w:val="3D582935"/>
    <w:rsid w:val="3FAC7767"/>
    <w:rsid w:val="4F335977"/>
    <w:rsid w:val="5A6012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42</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李俐</cp:lastModifiedBy>
  <cp:lastPrinted>2017-09-01T06:24:00Z</cp:lastPrinted>
  <dcterms:modified xsi:type="dcterms:W3CDTF">2021-06-01T12:14:27Z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A0C840242B2F4691915CAE34485992A3</vt:lpwstr>
  </property>
</Properties>
</file>