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四川伊索利科技有限公司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罗正彪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不符合事实描述:查叉车年检报告已过期，不符合GB/T19001-2016 7.1.3条款组织应确定、提供和维护所需的基础设施，以运行过程，并获得合格产品和服务。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方正仿宋简体" w:eastAsia="方正仿宋简体"/>
                <w:b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768350</wp:posOffset>
                  </wp:positionH>
                  <wp:positionV relativeFrom="paragraph">
                    <wp:posOffset>134620</wp:posOffset>
                  </wp:positionV>
                  <wp:extent cx="323850" cy="335280"/>
                  <wp:effectExtent l="0" t="0" r="6350" b="762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3067050</wp:posOffset>
                  </wp:positionH>
                  <wp:positionV relativeFrom="paragraph">
                    <wp:posOffset>1270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2021年6月2日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2021年6月2日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2021年6月2日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5072AD"/>
    <w:rsid w:val="70BD14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2021-06-02T06:33:26Z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C211C40162704948AFE0346847CBD141</vt:lpwstr>
  </property>
</Properties>
</file>