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hint="eastAsia" w:ascii="楷体" w:hAnsi="楷体" w:eastAsia="楷体"/>
          <w:b/>
          <w:bCs w:val="0"/>
          <w:color w:val="000000" w:themeColor="text1"/>
          <w:sz w:val="24"/>
          <w:szCs w:val="24"/>
          <w:lang w:val="en-US" w:eastAsia="zh-CN"/>
        </w:rPr>
      </w:pPr>
      <w:r>
        <w:rPr>
          <w:rFonts w:hint="eastAsia" w:ascii="楷体" w:hAnsi="楷体" w:eastAsia="楷体"/>
          <w:b/>
          <w:bCs w:val="0"/>
          <w:color w:val="000000" w:themeColor="text1"/>
          <w:sz w:val="24"/>
          <w:szCs w:val="24"/>
          <w:lang w:val="en-US" w:eastAsia="zh-CN"/>
        </w:rPr>
        <w:t>编号：</w:t>
      </w:r>
      <w:bookmarkStart w:id="0" w:name="合同编号"/>
      <w:r>
        <w:rPr>
          <w:b/>
          <w:bCs w:val="0"/>
          <w:sz w:val="24"/>
          <w:szCs w:val="24"/>
        </w:rPr>
        <w:t>0532-2021-EO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重庆小锋包装袋有限责任公司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重庆小锋包装袋有限责任公司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37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重庆市长寿区晏家双园路55号6幢1-3</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401221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重庆市长寿区凤城街道三洞村十组</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401221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席雨</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18623184753</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焦小锋</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焦小锋</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席雨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E：塑料编织袋、集装袋的销售所涉及场所的相关环境管理活动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O：塑料编织袋、集装袋的销售所涉及场所的相关职业健康安全管理活动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行政部（含财务）</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方针、目标管理；文件、记录控制程；管理评审；内审管理；人员、部门职能职责和权限；风险识别评价管理；环境因素识别评价管理；纠正和预防措施控制；监视和测量设备管理；设备设施管理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sz w:val="20"/>
                <w:szCs w:val="20"/>
                <w:lang w:eastAsia="zh-CN"/>
              </w:rPr>
            </w:pPr>
            <w:r>
              <w:rPr>
                <w:sz w:val="20"/>
              </w:rPr>
              <w:t>塑料编织袋、集装袋的销售</w:t>
            </w:r>
          </w:p>
        </w:tc>
        <w:tc>
          <w:tcPr>
            <w:tcW w:w="2519" w:type="dxa"/>
          </w:tcPr>
          <w:p>
            <w:pPr>
              <w:rPr>
                <w:b/>
                <w:sz w:val="20"/>
                <w:szCs w:val="20"/>
              </w:rPr>
            </w:pPr>
            <w:r>
              <w:rPr>
                <w:rFonts w:hint="eastAsia"/>
                <w:b/>
                <w:sz w:val="20"/>
                <w:szCs w:val="20"/>
              </w:rPr>
              <w:t>服务</w:t>
            </w:r>
          </w:p>
        </w:tc>
        <w:tc>
          <w:tcPr>
            <w:tcW w:w="1843" w:type="dxa"/>
          </w:tcPr>
          <w:p>
            <w:pPr>
              <w:rPr>
                <w:b/>
                <w:sz w:val="20"/>
                <w:szCs w:val="20"/>
              </w:rPr>
            </w:pPr>
          </w:p>
        </w:tc>
        <w:tc>
          <w:tcPr>
            <w:tcW w:w="3543" w:type="dxa"/>
          </w:tcPr>
          <w:p>
            <w:pPr>
              <w:rPr>
                <w:b/>
                <w:sz w:val="20"/>
                <w:szCs w:val="20"/>
              </w:rPr>
            </w:pPr>
            <w:r>
              <w:rPr>
                <w:rFonts w:hint="eastAsia" w:ascii="Times New Roman" w:hAnsi="Times New Roman" w:eastAsia="宋体" w:cs="Times New Roman"/>
              </w:rPr>
              <w:t>塑料编织袋通用技术要求GB/T 8946-2013</w:t>
            </w:r>
            <w:r>
              <w:rPr>
                <w:rFonts w:hint="eastAsia" w:ascii="Times New Roman" w:hAnsi="Times New Roman" w:eastAsia="宋体" w:cs="Times New Roman"/>
                <w:lang w:eastAsia="zh-CN"/>
              </w:rPr>
              <w:t>、</w:t>
            </w:r>
            <w:r>
              <w:rPr>
                <w:rFonts w:hint="eastAsia" w:ascii="Times New Roman" w:hAnsi="Times New Roman" w:eastAsia="宋体" w:cs="Times New Roman"/>
              </w:rPr>
              <w:t>集装袋GB/T 10454-2000</w:t>
            </w:r>
            <w:r>
              <w:rPr>
                <w:rFonts w:hint="eastAsia" w:ascii="Times New Roman" w:hAnsi="Times New Roman" w:eastAsia="宋体" w:cs="Times New Roman"/>
                <w:lang w:eastAsia="zh-CN"/>
              </w:rPr>
              <w:t>、</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rPr>
        <w:t>年</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w:t>
      </w:r>
      <w:r>
        <w:rPr>
          <w:rFonts w:hint="eastAsia"/>
          <w:b/>
          <w:color w:val="000000" w:themeColor="text1"/>
          <w:spacing w:val="-10"/>
          <w:szCs w:val="21"/>
          <w:u w:val="single"/>
          <w:lang w:val="en-US" w:eastAsia="zh-CN"/>
        </w:rPr>
        <w:t>1</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Ansi="宋体" w:cs="宋体"/>
                <w:sz w:val="21"/>
                <w:szCs w:val="21"/>
              </w:rPr>
            </w:pPr>
            <w:r>
              <w:rPr>
                <w:rFonts w:hint="eastAsia" w:ascii="宋体" w:hAnsi="宋体"/>
                <w:sz w:val="21"/>
                <w:szCs w:val="21"/>
              </w:rPr>
              <w:t>重庆小锋包装袋有限责任公司成立于2018年，是一家福利型企业</w:t>
            </w:r>
            <w:r>
              <w:rPr>
                <w:rFonts w:hint="eastAsia" w:hAnsi="宋体" w:cs="宋体"/>
                <w:sz w:val="21"/>
                <w:szCs w:val="21"/>
                <w:highlight w:val="none"/>
              </w:rPr>
              <w:t>。主要</w:t>
            </w:r>
            <w:r>
              <w:rPr>
                <w:sz w:val="21"/>
                <w:szCs w:val="21"/>
                <w:highlight w:val="none"/>
              </w:rPr>
              <w:t>长</w:t>
            </w:r>
            <w:r>
              <w:rPr>
                <w:sz w:val="21"/>
                <w:szCs w:val="21"/>
              </w:rPr>
              <w:t>期从事</w:t>
            </w:r>
            <w:r>
              <w:rPr>
                <w:rFonts w:hint="eastAsia" w:ascii="宋体" w:hAnsi="宋体"/>
                <w:sz w:val="21"/>
                <w:szCs w:val="21"/>
              </w:rPr>
              <w:t>塑料编织袋、集装袋的销售</w:t>
            </w:r>
            <w:r>
              <w:rPr>
                <w:rFonts w:hint="eastAsia" w:hAnsi="宋体" w:cs="宋体"/>
                <w:sz w:val="21"/>
                <w:szCs w:val="21"/>
                <w:highlight w:val="none"/>
              </w:rPr>
              <w:t>，目前员工人数</w:t>
            </w:r>
            <w:r>
              <w:rPr>
                <w:rFonts w:hint="eastAsia" w:hAnsi="宋体" w:cs="宋体"/>
                <w:sz w:val="21"/>
                <w:szCs w:val="21"/>
                <w:highlight w:val="none"/>
                <w:lang w:val="en-US" w:eastAsia="zh-CN"/>
              </w:rPr>
              <w:t>37</w:t>
            </w:r>
            <w:r>
              <w:rPr>
                <w:rFonts w:hint="eastAsia" w:hAnsi="宋体" w:cs="宋体"/>
                <w:sz w:val="21"/>
                <w:szCs w:val="21"/>
                <w:highlight w:val="none"/>
              </w:rPr>
              <w:t>人，经营状况良好。</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eastAsia="宋体" w:cs="Times New Roman"/>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olor w:val="000000" w:themeColor="text1"/>
                <w:lang w:eastAsia="zh-CN"/>
              </w:rPr>
              <w:t>质量、</w:t>
            </w:r>
            <w:r>
              <w:rPr>
                <w:rFonts w:hint="eastAsia" w:ascii="宋体" w:hAnsi="宋体" w:cs="宋体"/>
                <w:szCs w:val="21"/>
              </w:rPr>
              <w:t>环境管理</w:t>
            </w:r>
            <w:r>
              <w:rPr>
                <w:rFonts w:hint="eastAsia" w:ascii="宋体" w:hAnsi="宋体" w:cs="宋体"/>
                <w:szCs w:val="21"/>
                <w:lang w:eastAsia="zh-CN"/>
              </w:rPr>
              <w:t>、</w:t>
            </w:r>
            <w:r>
              <w:rPr>
                <w:rFonts w:hint="eastAsia" w:asciiTheme="minorEastAsia" w:hAnsiTheme="minorEastAsia" w:eastAsiaTheme="minorEastAsia" w:cstheme="minorEastAsia"/>
                <w:szCs w:val="21"/>
              </w:rPr>
              <w:t>职业健康安全</w:t>
            </w:r>
            <w:r>
              <w:rPr>
                <w:rFonts w:hint="eastAsia" w:ascii="宋体" w:hAnsi="宋体" w:cs="宋体"/>
                <w:szCs w:val="21"/>
              </w:rPr>
              <w:t>方针：</w:t>
            </w:r>
            <w:r>
              <w:rPr>
                <w:rFonts w:hint="eastAsia" w:ascii="宋体" w:hAnsi="宋体" w:eastAsia="宋体" w:cs="Times New Roman"/>
                <w:color w:val="000000" w:themeColor="text1"/>
              </w:rPr>
              <w:t>“预防为主，遵规守法，确保环保安全；以人为本，持续改进，实现平安和谐”。</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1365" w:firstLineChars="650"/>
              <w:rPr>
                <w:highlight w:val="green"/>
              </w:rPr>
            </w:pPr>
            <w:r>
              <w:rPr>
                <w:rFonts w:hint="eastAsia"/>
              </w:rPr>
              <w:t>环境、职业健康安全目标：（考核时间20</w:t>
            </w:r>
            <w:r>
              <w:rPr>
                <w:rFonts w:hint="eastAsia"/>
                <w:lang w:val="en-US" w:eastAsia="zh-CN"/>
              </w:rPr>
              <w:t>21</w:t>
            </w:r>
            <w:r>
              <w:rPr>
                <w:rFonts w:hint="eastAsia"/>
              </w:rPr>
              <w:t>年</w:t>
            </w:r>
            <w:r>
              <w:rPr>
                <w:rFonts w:hint="eastAsia"/>
                <w:lang w:val="en-US" w:eastAsia="zh-CN"/>
              </w:rPr>
              <w:t>1</w:t>
            </w:r>
            <w:r>
              <w:rPr>
                <w:rFonts w:hint="eastAsia"/>
              </w:rPr>
              <w:t>月-202</w:t>
            </w:r>
            <w:r>
              <w:rPr>
                <w:rFonts w:hint="eastAsia"/>
                <w:lang w:val="en-US" w:eastAsia="zh-CN"/>
              </w:rPr>
              <w:t>1</w:t>
            </w:r>
            <w:r>
              <w:rPr>
                <w:rFonts w:hint="eastAsia"/>
              </w:rPr>
              <w:t>年</w:t>
            </w:r>
            <w:r>
              <w:rPr>
                <w:rFonts w:hint="eastAsia"/>
                <w:lang w:val="en-US" w:eastAsia="zh-CN"/>
              </w:rPr>
              <w:t>5</w:t>
            </w:r>
            <w:r>
              <w:rPr>
                <w:rFonts w:hint="eastAsia"/>
              </w:rPr>
              <w:t>月）</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t>固体废弃物分类收集、统一回收处置率 100%</w:t>
            </w:r>
            <w:r>
              <w:rPr>
                <w:rFonts w:hint="eastAsia" w:asciiTheme="minorEastAsia" w:hAnsiTheme="minorEastAsia" w:eastAsiaTheme="minorEastAsia" w:cstheme="minorEastAsia"/>
                <w:szCs w:val="21"/>
              </w:rPr>
              <w:t>；           100%</w:t>
            </w:r>
          </w:p>
          <w:p>
            <w:pPr>
              <w:numPr>
                <w:ilvl w:val="0"/>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t>火灾事故发生率为零</w:t>
            </w:r>
            <w:r>
              <w:rPr>
                <w:rFonts w:hint="eastAsia"/>
                <w:lang w:eastAsia="zh-CN"/>
              </w:rPr>
              <w:t>；</w:t>
            </w:r>
            <w:r>
              <w:rPr>
                <w:rFonts w:hint="eastAsia"/>
                <w:lang w:val="en-US" w:eastAsia="zh-CN"/>
              </w:rPr>
              <w:t xml:space="preserve">                               </w:t>
            </w:r>
            <w:r>
              <w:rPr>
                <w:rFonts w:hint="eastAsia"/>
                <w:szCs w:val="21"/>
              </w:rPr>
              <w:t>无火灾事故发生</w:t>
            </w:r>
          </w:p>
          <w:p>
            <w:pPr>
              <w:numPr>
                <w:ilvl w:val="0"/>
                <w:numId w:val="0"/>
              </w:numPr>
              <w:jc w:val="left"/>
              <w:rPr>
                <w:rFonts w:ascii="宋体" w:hAnsi="宋体"/>
                <w:b/>
                <w:color w:val="000000" w:themeColor="text1"/>
              </w:rPr>
            </w:pPr>
            <w:r>
              <w:rPr>
                <w:rFonts w:hint="eastAsia" w:asciiTheme="minorEastAsia" w:hAnsiTheme="minorEastAsia" w:eastAsiaTheme="minorEastAsia" w:cstheme="minorEastAsia"/>
                <w:szCs w:val="21"/>
              </w:rPr>
              <w:t>3、</w:t>
            </w:r>
            <w:r>
              <w:t>员工</w:t>
            </w:r>
            <w:r>
              <w:rPr>
                <w:rFonts w:hint="eastAsia"/>
                <w:lang w:val="en-US" w:eastAsia="zh-CN"/>
              </w:rPr>
              <w:t>意外伤害为零；</w:t>
            </w:r>
            <w:r>
              <w:rPr>
                <w:rFonts w:hint="eastAsia" w:ascii="Times New Roman" w:hAnsi="Times New Roman" w:cs="Times New Roman"/>
                <w:lang w:val="en-US" w:eastAsia="zh-CN"/>
              </w:rPr>
              <w:t xml:space="preserve">                               未发生意外伤害事故</w:t>
            </w:r>
            <w:r>
              <w:rPr>
                <w:rFonts w:hint="eastAsia" w:asciiTheme="minorEastAsia" w:hAnsiTheme="minorEastAsia" w:eastAsiaTheme="minorEastAsia" w:cstheme="minor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燃气设备零配件及防腐管件的销售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w:t>
            </w:r>
            <w:r>
              <w:rPr>
                <w:rFonts w:hint="eastAsia" w:ascii="宋体" w:hAnsi="宋体"/>
                <w:b/>
                <w:color w:val="000000" w:themeColor="text1"/>
                <w:sz w:val="20"/>
                <w:szCs w:val="20"/>
                <w:highlight w:val="none"/>
              </w:rPr>
              <w:t>括信息系统）、</w:t>
            </w:r>
            <w:r>
              <w:rPr>
                <w:rFonts w:hint="eastAsia" w:ascii="宋体" w:hAnsi="宋体"/>
                <w:szCs w:val="21"/>
                <w:highlight w:val="none"/>
              </w:rPr>
              <w:t>办公场所面积</w:t>
            </w:r>
            <w:r>
              <w:rPr>
                <w:rFonts w:hint="eastAsia" w:ascii="宋体" w:hAnsi="宋体"/>
                <w:szCs w:val="21"/>
                <w:highlight w:val="none"/>
                <w:lang w:val="en-US" w:eastAsia="zh-CN"/>
              </w:rPr>
              <w:t>60</w:t>
            </w:r>
            <w:r>
              <w:rPr>
                <w:rFonts w:hint="eastAsia" w:ascii="宋体" w:hAnsi="宋体"/>
                <w:szCs w:val="21"/>
                <w:highlight w:val="none"/>
              </w:rPr>
              <w:t>平方左右</w:t>
            </w:r>
            <w:r>
              <w:rPr>
                <w:rFonts w:hint="eastAsia" w:ascii="宋体" w:hAnsi="宋体"/>
                <w:color w:val="FF0000"/>
                <w:szCs w:val="21"/>
                <w:highlight w:val="none"/>
              </w:rPr>
              <w:t>，</w:t>
            </w:r>
            <w:r>
              <w:rPr>
                <w:rFonts w:hint="eastAsia"/>
                <w:szCs w:val="21"/>
                <w:highlight w:val="none"/>
                <w:lang w:eastAsia="zh-CN"/>
              </w:rPr>
              <w:t>设有</w:t>
            </w:r>
            <w:r>
              <w:rPr>
                <w:rFonts w:hint="eastAsia"/>
                <w:szCs w:val="21"/>
                <w:highlight w:val="none"/>
                <w:lang w:val="en-US" w:eastAsia="zh-CN"/>
              </w:rPr>
              <w:t>500平方米库房，产品装卸使用人工作业</w:t>
            </w:r>
            <w:r>
              <w:rPr>
                <w:rFonts w:hint="eastAsia" w:ascii="宋体" w:hAnsi="宋体"/>
                <w:color w:val="auto"/>
                <w:szCs w:val="21"/>
                <w:highlight w:val="none"/>
              </w:rPr>
              <w:t>。</w:t>
            </w:r>
            <w:r>
              <w:rPr>
                <w:rFonts w:hint="eastAsia" w:ascii="宋体" w:hAnsi="宋体" w:cs="宋体"/>
                <w:szCs w:val="21"/>
                <w:highlight w:val="none"/>
              </w:rPr>
              <w:t>主要生产设备包括电脑和办公设备</w:t>
            </w:r>
            <w:r>
              <w:rPr>
                <w:rFonts w:hint="eastAsia" w:ascii="宋体" w:hAnsi="宋体"/>
                <w:szCs w:val="21"/>
                <w:highlight w:val="none"/>
              </w:rPr>
              <w:t>，可以满足</w:t>
            </w:r>
            <w:r>
              <w:rPr>
                <w:sz w:val="20"/>
              </w:rPr>
              <w:t>塑料编织袋、集装袋的销售</w:t>
            </w:r>
            <w:r>
              <w:rPr>
                <w:rFonts w:hint="eastAsia" w:ascii="宋体" w:hAnsi="宋体"/>
                <w:color w:val="auto"/>
                <w:szCs w:val="21"/>
                <w:highlight w:val="none"/>
              </w:rPr>
              <w:t>的需要</w:t>
            </w:r>
            <w:r>
              <w:rPr>
                <w:rFonts w:hint="eastAsia" w:ascii="宋体" w:hAnsi="宋体" w:cs="宋体"/>
                <w:color w:val="auto"/>
                <w:szCs w:val="21"/>
                <w:highlight w:val="none"/>
              </w:rPr>
              <w:t>。</w:t>
            </w:r>
            <w:r>
              <w:rPr>
                <w:rFonts w:hint="eastAsia" w:ascii="宋体" w:hAnsi="宋体" w:cs="宋体"/>
                <w:szCs w:val="21"/>
                <w:highlight w:val="none"/>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办公场所内设备布置合理，通道畅通，照明设施齐全，均配备了消防设施等设施。办公室明亮</w:t>
            </w:r>
            <w:r>
              <w:rPr>
                <w:rFonts w:hint="eastAsia" w:ascii="宋体" w:hAnsi="宋体" w:cs="宋体"/>
                <w:szCs w:val="21"/>
                <w:lang w:eastAsia="zh-CN"/>
              </w:rPr>
              <w:t>，</w:t>
            </w:r>
            <w:r>
              <w:rPr>
                <w:rFonts w:hint="eastAsia" w:ascii="宋体" w:hAnsi="宋体" w:cs="宋体"/>
                <w:szCs w:val="21"/>
              </w:rPr>
              <w:t>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color w:val="000000"/>
                <w:sz w:val="20"/>
                <w:szCs w:val="20"/>
                <w:lang w:eastAsia="zh-CN"/>
              </w:rPr>
              <w:t>生产地配置有：</w:t>
            </w:r>
            <w:r>
              <w:rPr>
                <w:rFonts w:hint="eastAsia" w:ascii="宋体"/>
                <w:color w:val="000000"/>
                <w:sz w:val="20"/>
                <w:szCs w:val="20"/>
                <w:lang w:val="en-US" w:eastAsia="zh-CN"/>
              </w:rPr>
              <w:t>钢卷尺</w:t>
            </w:r>
            <w:r>
              <w:rPr>
                <w:rFonts w:hint="eastAsia" w:ascii="宋体"/>
                <w:color w:val="000000"/>
                <w:sz w:val="20"/>
                <w:szCs w:val="20"/>
                <w:lang w:eastAsia="zh-CN"/>
              </w:rPr>
              <w:t>、</w:t>
            </w:r>
            <w:r>
              <w:rPr>
                <w:rFonts w:hint="eastAsia" w:ascii="宋体"/>
                <w:color w:val="000000"/>
                <w:sz w:val="20"/>
                <w:szCs w:val="20"/>
                <w:lang w:val="en-US" w:eastAsia="zh-CN"/>
              </w:rPr>
              <w:t>电子计价秤</w:t>
            </w:r>
            <w:r>
              <w:rPr>
                <w:rFonts w:hint="eastAsia" w:ascii="宋体"/>
                <w:color w:val="000000"/>
                <w:sz w:val="20"/>
                <w:szCs w:val="20"/>
                <w:lang w:eastAsia="zh-CN"/>
              </w:rPr>
              <w:t>等检测设备。</w:t>
            </w:r>
            <w:r>
              <w:rPr>
                <w:rFonts w:hint="eastAsia" w:ascii="宋体"/>
                <w:color w:val="000000"/>
                <w:sz w:val="20"/>
                <w:szCs w:val="20"/>
                <w:highlight w:val="none"/>
                <w:lang w:eastAsia="zh-CN"/>
              </w:rPr>
              <w:t>销售的产品</w:t>
            </w:r>
            <w:r>
              <w:rPr>
                <w:rFonts w:hint="eastAsia" w:ascii="宋体"/>
                <w:color w:val="000000"/>
                <w:sz w:val="20"/>
                <w:szCs w:val="20"/>
                <w:highlight w:val="none"/>
              </w:rPr>
              <w:t>出具质检报告，</w:t>
            </w:r>
            <w:r>
              <w:rPr>
                <w:rFonts w:hint="eastAsia" w:ascii="宋体"/>
                <w:color w:val="000000"/>
                <w:sz w:val="20"/>
                <w:szCs w:val="20"/>
                <w:highlight w:val="none"/>
                <w:lang w:eastAsia="zh-CN"/>
              </w:rPr>
              <w:t>客户按约定要求进行</w:t>
            </w:r>
            <w:r>
              <w:rPr>
                <w:rFonts w:hint="eastAsia" w:ascii="宋体"/>
                <w:color w:val="000000"/>
                <w:sz w:val="20"/>
                <w:szCs w:val="20"/>
                <w:highlight w:val="none"/>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val="en-US" w:eastAsia="zh-CN"/>
              </w:rPr>
              <w:t>意外</w:t>
            </w:r>
            <w:r>
              <w:rPr>
                <w:rFonts w:hint="eastAsia" w:asciiTheme="minorEastAsia" w:hAnsiTheme="minorEastAsia" w:eastAsiaTheme="minorEastAsia"/>
                <w:bCs/>
                <w:iCs/>
                <w:lang w:eastAsia="zh-CN"/>
              </w:rPr>
              <w:t>伤害</w:t>
            </w:r>
            <w:r>
              <w:rPr>
                <w:rFonts w:hint="eastAsia" w:asciiTheme="minorEastAsia" w:hAnsiTheme="minorEastAsia" w:eastAsiaTheme="minorEastAsia"/>
                <w:bCs/>
                <w:iCs/>
              </w:rPr>
              <w:t>等），与之相关的过程有客户需求分析、合同签订、销售过程，针对不可接受风险制定了管理方案。控制措施实施有效。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w:t>
            </w:r>
            <w:r>
              <w:rPr>
                <w:rFonts w:hint="eastAsia" w:asciiTheme="minorEastAsia" w:hAnsiTheme="minorEastAsia" w:eastAsiaTheme="minorEastAsia"/>
                <w:bCs/>
                <w:iCs/>
                <w:color w:val="auto"/>
              </w:rPr>
              <w:t>，</w:t>
            </w:r>
            <w:r>
              <w:rPr>
                <w:rFonts w:hint="eastAsia" w:asciiTheme="minorEastAsia" w:hAnsiTheme="minorEastAsia" w:eastAsiaTheme="minorEastAsia"/>
                <w:bCs/>
                <w:iCs/>
                <w:color w:val="auto"/>
                <w:lang w:eastAsia="zh-CN"/>
              </w:rPr>
              <w:t>并</w:t>
            </w:r>
            <w:r>
              <w:rPr>
                <w:rFonts w:hint="eastAsia" w:asciiTheme="minorEastAsia" w:hAnsiTheme="minorEastAsia" w:eastAsiaTheme="minorEastAsia"/>
                <w:bCs/>
                <w:iCs/>
                <w:color w:val="auto"/>
              </w:rPr>
              <w:t>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szCs w:val="21"/>
              </w:rPr>
              <w:t>，拟定了审核实施表，明确了内审范围，内审人员经培训合格上岗，能力满足要求，未出现审核本部门情况，内审不符合项1项，</w:t>
            </w:r>
            <w:r>
              <w:rPr>
                <w:rFonts w:hint="eastAsia" w:ascii="宋体" w:hAnsi="宋体"/>
                <w:szCs w:val="21"/>
              </w:rPr>
              <w:t>涉及</w:t>
            </w:r>
            <w:r>
              <w:rPr>
                <w:rFonts w:hint="eastAsia" w:ascii="宋体" w:hAnsi="宋体"/>
                <w:szCs w:val="21"/>
                <w:lang w:val="en-US" w:eastAsia="zh-CN"/>
              </w:rPr>
              <w:t>行政</w:t>
            </w:r>
            <w:r>
              <w:rPr>
                <w:rFonts w:hint="eastAsia" w:ascii="宋体" w:hAnsi="宋体"/>
                <w:szCs w:val="21"/>
                <w:lang w:eastAsia="zh-CN"/>
              </w:rPr>
              <w:t>部</w:t>
            </w:r>
            <w:r>
              <w:rPr>
                <w:rFonts w:hint="eastAsia" w:ascii="宋体" w:hAnsi="宋体"/>
                <w:szCs w:val="21"/>
              </w:rPr>
              <w:t>E</w:t>
            </w:r>
            <w:r>
              <w:rPr>
                <w:rFonts w:hint="eastAsia" w:ascii="宋体" w:hAnsi="宋体"/>
                <w:szCs w:val="21"/>
                <w:lang w:val="en-US" w:eastAsia="zh-CN"/>
              </w:rPr>
              <w:t>/</w:t>
            </w:r>
            <w:r>
              <w:rPr>
                <w:rFonts w:hint="eastAsia" w:ascii="宋体" w:hAnsi="宋体"/>
                <w:szCs w:val="21"/>
              </w:rPr>
              <w:t>S</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2</w:t>
            </w:r>
            <w:r>
              <w:rPr>
                <w:rFonts w:hint="eastAsia" w:ascii="宋体" w:hAnsi="宋体"/>
                <w:szCs w:val="21"/>
              </w:rPr>
              <w:t>条款</w:t>
            </w:r>
            <w:r>
              <w:rPr>
                <w:rFonts w:hint="eastAsia" w:ascii="宋体" w:hAnsi="宋体"/>
                <w:szCs w:val="21"/>
                <w:lang w:eastAsia="zh-CN"/>
              </w:rPr>
              <w:t>“</w:t>
            </w:r>
            <w:r>
              <w:rPr>
                <w:rFonts w:hint="eastAsia" w:ascii="宋体" w:hAnsi="宋体" w:cs="宋体"/>
                <w:szCs w:val="21"/>
              </w:rPr>
              <w:t>在审核行政部时，未见对新员工的培训记录</w:t>
            </w:r>
            <w:r>
              <w:rPr>
                <w:rFonts w:hint="eastAsia" w:ascii="宋体" w:hAnsi="宋体"/>
                <w:szCs w:val="21"/>
                <w:lang w:eastAsia="zh-CN"/>
              </w:rPr>
              <w:t>”</w:t>
            </w:r>
            <w:r>
              <w:rPr>
                <w:rFonts w:hint="eastAsia" w:ascii="宋体" w:hAnsi="宋体"/>
                <w:szCs w:val="21"/>
              </w:rPr>
              <w:t>，</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w:t>
            </w:r>
            <w:r>
              <w:rPr>
                <w:rFonts w:hint="eastAsia" w:ascii="宋体" w:hAnsi="宋体" w:cs="宋体"/>
                <w:color w:val="auto"/>
                <w:szCs w:val="21"/>
              </w:rPr>
              <w:t>于</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24</w:t>
            </w:r>
            <w:r>
              <w:rPr>
                <w:rFonts w:hint="eastAsia" w:ascii="宋体" w:hAnsi="宋体"/>
                <w:color w:val="auto"/>
                <w:szCs w:val="21"/>
              </w:rPr>
              <w:t>日</w:t>
            </w:r>
            <w:r>
              <w:rPr>
                <w:rFonts w:hint="eastAsia" w:ascii="宋体" w:hAnsi="宋体" w:cs="宋体"/>
                <w:color w:val="auto"/>
                <w:szCs w:val="21"/>
              </w:rPr>
              <w:t>由总经理主持</w:t>
            </w:r>
            <w:r>
              <w:rPr>
                <w:rFonts w:hint="eastAsia" w:ascii="宋体" w:hAnsi="宋体" w:cs="宋体"/>
                <w:szCs w:val="21"/>
              </w:rPr>
              <w:t>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highlight w:val="none"/>
        </w:rPr>
        <w:t>1. 本次审核共开具不符合项报告1项；其中</w:t>
      </w:r>
      <w:r>
        <w:rPr>
          <w:b/>
          <w:highlight w:val="none"/>
        </w:rPr>
        <w:pict>
          <v:line id="直接连接符 1" o:spid="_x0000_s2053" o:spt="20" style="position:absolute;left:0pt;margin-left:210pt;margin-top:16.2pt;height:0pt;width:0pt;z-index:25166336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行政部</w:t>
      </w:r>
      <w:r>
        <w:rPr>
          <w:rFonts w:hint="eastAsia"/>
          <w:b/>
          <w:highlight w:val="none"/>
        </w:rPr>
        <w:t>E/S</w:t>
      </w:r>
      <w:r>
        <w:rPr>
          <w:rFonts w:hint="eastAsia"/>
          <w:b/>
          <w:highlight w:val="none"/>
          <w:lang w:val="en-US" w:eastAsia="zh-CN"/>
        </w:rPr>
        <w:t>8.2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eastAsia="宋体" w:cs="Times New Roman"/>
                <w:b/>
                <w:color w:val="000000" w:themeColor="text1"/>
                <w:u w:val="single"/>
              </w:rPr>
            </w:pPr>
            <w:r>
              <w:rPr>
                <w:rFonts w:hint="eastAsia" w:ascii="宋体" w:hAnsi="宋体" w:eastAsia="宋体" w:cs="Times New Roman"/>
                <w:b/>
                <w:color w:val="000000" w:themeColor="text1"/>
                <w:u w:val="single"/>
              </w:rPr>
              <w:t>EMS: 塑料编织袋、集装袋的销售所涉及场所的相关环境管理活动。</w:t>
            </w:r>
          </w:p>
          <w:p>
            <w:pPr>
              <w:spacing w:line="320" w:lineRule="exact"/>
              <w:rPr>
                <w:b/>
                <w:color w:val="000000" w:themeColor="text1"/>
                <w:spacing w:val="-10"/>
                <w:sz w:val="22"/>
                <w:szCs w:val="22"/>
              </w:rPr>
            </w:pPr>
            <w:r>
              <w:rPr>
                <w:rFonts w:hint="eastAsia" w:ascii="宋体" w:hAnsi="宋体" w:eastAsia="宋体" w:cs="Times New Roman"/>
                <w:b/>
                <w:color w:val="000000" w:themeColor="text1"/>
                <w:u w:val="single"/>
              </w:rPr>
              <w:t>OHSMS: 塑料编织袋、集装袋的销售所涉及场所的相关职业健康安全管理活动。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color w:val="000000" w:themeColor="text1"/>
          <w:sz w:val="28"/>
          <w:szCs w:val="28"/>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eastAsia="宋体" w:cs="Times New Roman"/>
          <w:b/>
          <w:color w:val="000000" w:themeColor="text1"/>
          <w:sz w:val="26"/>
          <w:szCs w:val="26"/>
        </w:rPr>
        <w:t xml:space="preserve">任何影响审核方案的重要事项： </w:t>
      </w:r>
      <w:r>
        <w:rPr>
          <w:rFonts w:hint="eastAsia" w:ascii="Times New Roman" w:hAnsi="Times New Roman" w:eastAsia="宋体" w:cs="Times New Roman"/>
          <w:b/>
          <w:color w:val="000000" w:themeColor="text1"/>
          <w:sz w:val="26"/>
          <w:szCs w:val="26"/>
          <w:lang w:val="en-US" w:eastAsia="zh-CN"/>
        </w:rPr>
        <w:t>无</w:t>
      </w:r>
    </w:p>
    <w:p>
      <w:pPr>
        <w:snapToGrid w:val="0"/>
        <w:rPr>
          <w:b/>
          <w:bCs/>
          <w:color w:val="000000" w:themeColor="text1"/>
          <w:szCs w:val="28"/>
          <w:u w:val="single"/>
        </w:rPr>
      </w:pPr>
    </w:p>
    <w:p>
      <w:pPr>
        <w:snapToGrid w:val="0"/>
        <w:spacing w:afterLines="50" w:line="360" w:lineRule="auto"/>
        <w:ind w:left="-133" w:leftChars="-405" w:hanging="717" w:hangingChars="326"/>
        <w:rPr>
          <w:b/>
          <w:color w:val="000000" w:themeColor="text1"/>
          <w:sz w:val="16"/>
          <w:szCs w:val="16"/>
        </w:rPr>
      </w:pPr>
      <w:r>
        <w:rPr>
          <w:sz w:val="22"/>
          <w:szCs w:val="22"/>
        </w:rPr>
        <w:drawing>
          <wp:anchor distT="0" distB="0" distL="0" distR="0" simplePos="0" relativeHeight="251664384" behindDoc="0" locked="0" layoutInCell="1" allowOverlap="1">
            <wp:simplePos x="0" y="0"/>
            <wp:positionH relativeFrom="column">
              <wp:posOffset>1493520</wp:posOffset>
            </wp:positionH>
            <wp:positionV relativeFrom="paragraph">
              <wp:posOffset>280035</wp:posOffset>
            </wp:positionV>
            <wp:extent cx="746760" cy="464820"/>
            <wp:effectExtent l="0" t="0" r="0" b="7620"/>
            <wp:wrapNone/>
            <wp:docPr id="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新文档 2020-01-09 10"/>
                    <pic:cNvPicPr>
                      <a:picLocks noChangeAspect="1" noChangeArrowheads="1"/>
                    </pic:cNvPicPr>
                  </pic:nvPicPr>
                  <pic:blipFill>
                    <a:blip r:embed="rId6"/>
                    <a:srcRect/>
                    <a:stretch>
                      <a:fillRect/>
                    </a:stretch>
                  </pic:blipFill>
                  <pic:spPr>
                    <a:xfrm>
                      <a:off x="0" y="0"/>
                      <a:ext cx="746760" cy="46482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1611630</wp:posOffset>
            </wp:positionH>
            <wp:positionV relativeFrom="paragraph">
              <wp:posOffset>401955</wp:posOffset>
            </wp:positionV>
            <wp:extent cx="645160" cy="321945"/>
            <wp:effectExtent l="0" t="0" r="10160" b="133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645160" cy="321945"/>
                    </a:xfrm>
                    <a:prstGeom prst="rect">
                      <a:avLst/>
                    </a:prstGeom>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921" w:firstLineChars="1860"/>
        <w:rPr>
          <w:b/>
          <w:color w:val="000000" w:themeColor="text1"/>
          <w:sz w:val="16"/>
          <w:szCs w:val="16"/>
        </w:rPr>
      </w:pPr>
      <w:r>
        <w:rPr>
          <w:rFonts w:hint="eastAsia"/>
          <w:b/>
          <w:color w:val="000000" w:themeColor="text1"/>
        </w:rPr>
        <w:t>日期：202</w:t>
      </w:r>
      <w:r>
        <w:rPr>
          <w:rFonts w:hint="eastAsia"/>
          <w:b/>
          <w:color w:val="000000" w:themeColor="text1"/>
          <w:lang w:val="en-US" w:eastAsia="zh-CN"/>
        </w:rPr>
        <w:t>1</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 xml:space="preserve">EMS(  1 )个一般不符合，(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 xml:space="preserve">OHSMS(  1 )个一般不符合，(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highlight w:val="none"/>
        </w:rPr>
      </w:pPr>
    </w:p>
    <w:p>
      <w:pPr>
        <w:spacing w:afterLines="50"/>
        <w:ind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Lines="100" w:afterLines="50"/>
        <w:rPr>
          <w:b/>
          <w:color w:val="000000" w:themeColor="text1"/>
          <w:szCs w:val="21"/>
          <w:highlight w:val="none"/>
        </w:rPr>
      </w:pPr>
      <w:r>
        <w:rPr>
          <w:b/>
          <w:color w:val="000000" w:themeColor="text1"/>
          <w:szCs w:val="21"/>
          <w:highlight w:val="none"/>
        </w:rPr>
        <w:drawing>
          <wp:anchor distT="0" distB="0" distL="0" distR="0" simplePos="0" relativeHeight="251665408" behindDoc="0" locked="0" layoutInCell="1" allowOverlap="1">
            <wp:simplePos x="0" y="0"/>
            <wp:positionH relativeFrom="column">
              <wp:posOffset>719455</wp:posOffset>
            </wp:positionH>
            <wp:positionV relativeFrom="paragraph">
              <wp:posOffset>71120</wp:posOffset>
            </wp:positionV>
            <wp:extent cx="774065" cy="481965"/>
            <wp:effectExtent l="0" t="0" r="3175" b="5715"/>
            <wp:wrapNone/>
            <wp:docPr id="5"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新文档 2020-01-09 10"/>
                    <pic:cNvPicPr>
                      <a:picLocks noChangeAspect="1" noChangeArrowheads="1"/>
                    </pic:cNvPicPr>
                  </pic:nvPicPr>
                  <pic:blipFill>
                    <a:blip r:embed="rId6"/>
                    <a:srcRect/>
                    <a:stretch>
                      <a:fillRect/>
                    </a:stretch>
                  </pic:blipFill>
                  <pic:spPr>
                    <a:xfrm>
                      <a:off x="0" y="0"/>
                      <a:ext cx="774065" cy="481965"/>
                    </a:xfrm>
                    <a:prstGeom prst="rect">
                      <a:avLst/>
                    </a:prstGeom>
                    <a:noFill/>
                    <a:ln w="9525">
                      <a:noFill/>
                      <a:miter lim="800000"/>
                      <a:headEnd/>
                      <a:tailEnd/>
                    </a:ln>
                  </pic:spPr>
                </pic:pic>
              </a:graphicData>
            </a:graphic>
          </wp:anchor>
        </w:drawing>
      </w:r>
      <w:r>
        <w:rPr>
          <w:rFonts w:hint="eastAsia"/>
          <w:b/>
          <w:color w:val="000000" w:themeColor="text1"/>
          <w:szCs w:val="21"/>
          <w:highlight w:val="none"/>
        </w:rPr>
        <w:t xml:space="preserve">组长签字:                 </w:t>
      </w:r>
      <w:bookmarkStart w:id="23" w:name="_GoBack"/>
      <w:bookmarkEnd w:id="23"/>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E24612"/>
    <w:rsid w:val="5E043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2021-06-03T02:16:36Z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550A95DC676D476AB693489AB3E850A6</vt:lpwstr>
  </property>
</Properties>
</file>