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34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重庆小锋包装袋有限责任公司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销售流程图: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签订合同→产品采购→产品交付→款项回收→售后维护。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潜在火灾和固废排放，采取管理方案和应急处理方案控制。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火灾、意外伤害，采取管理方案和应急处理方案控制。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5" w:name="_GoBack"/>
            <w:r>
              <w:rPr>
                <w:rFonts w:hint="eastAsia" w:ascii="宋体" w:hAnsi="宋体" w:eastAsia="宋体"/>
                <w:color w:val="000000" w:themeColor="text1"/>
              </w:rPr>
              <w:t>中华人民共和国产品质量法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中华人民共和国招投标法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中华人民共和国消防法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中华人民共和国大气污染防治法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中华人民共和国环境噪声污染防治法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中华人民共和国固体废物污染防治法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大气污染物综合排放标准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等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111125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4073525</wp:posOffset>
            </wp:positionH>
            <wp:positionV relativeFrom="paragraph">
              <wp:posOffset>104775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2021年6月2日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2021年6月2日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1916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2021-05-29T09:55:10Z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342B096CACF14B1DB3A6A4AF10C941F7</vt:lpwstr>
  </property>
</Properties>
</file>