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7"/>
        <w:gridCol w:w="1506"/>
        <w:gridCol w:w="6"/>
        <w:gridCol w:w="567"/>
        <w:gridCol w:w="1099"/>
        <w:gridCol w:w="143"/>
        <w:gridCol w:w="75"/>
        <w:gridCol w:w="101"/>
        <w:gridCol w:w="589"/>
        <w:gridCol w:w="261"/>
        <w:gridCol w:w="453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重庆市长寿区凤城街道三洞村十组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席雨</w:t>
            </w:r>
            <w:bookmarkEnd w:id="2"/>
          </w:p>
        </w:tc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18623184753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401221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焦小峰</w:t>
            </w:r>
          </w:p>
        </w:tc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2752738635@qq.com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0532-2021-EO</w:t>
            </w:r>
            <w:bookmarkEnd w:id="8"/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E：塑料编织袋、集装袋的销售所涉及场所的相关环境管理活动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O：塑料编织袋、集装袋的销售所涉及场所的相关职业健康安全管理活动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2021年06月02日 下午至2021年06月03日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6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7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2021年5月31日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2021年5月31日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bookmarkEnd w:id="17"/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5.3组织的角色、职责和权限;6.1.3合规义务；6.2目标及其达成的策划；7.1资源；7.2能力；7.3意识；7.4沟通；7.5文件化信息；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D3F1E"/>
    <w:rsid w:val="406B5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2021-05-30T13:29:18Z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E5859AFAAD264C63AE9B376ED8146D1F</vt:lpwstr>
  </property>
</Properties>
</file>