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w:t>
      </w:r>
      <w:r>
        <w:rPr>
          <w:rFonts w:hint="eastAsia" w:ascii="楷体" w:hAnsi="楷体" w:eastAsia="楷体" w:cs="Times New Roman"/>
          <w:b/>
          <w:color w:val="000000"/>
          <w:sz w:val="32"/>
          <w:szCs w:val="32"/>
          <w:lang w:val="en-US" w:eastAsia="zh-CN"/>
        </w:rPr>
        <w:t>福建森野科技有限公司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李蒙生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2020-N1EMS-1237307</w:t>
            </w:r>
          </w:p>
          <w:p>
            <w:pPr>
              <w:jc w:val="center"/>
              <w:rPr>
                <w:b/>
                <w:sz w:val="21"/>
                <w:szCs w:val="21"/>
              </w:rPr>
            </w:pPr>
            <w:r>
              <w:rPr>
                <w:b/>
                <w:sz w:val="21"/>
                <w:szCs w:val="21"/>
              </w:rPr>
              <w:t>2020-N1OHSMS-1237307</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ISC-237307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w:t>
      </w:r>
      <w:r>
        <w:rPr>
          <w:rFonts w:hint="eastAsia" w:ascii="Times New Roman" w:hAnsi="Times New Roman" w:eastAsia="宋体" w:cs="Times New Roman"/>
          <w:b/>
          <w:sz w:val="21"/>
          <w:szCs w:val="21"/>
          <w:u w:val="single"/>
        </w:rPr>
        <w:t>__EMS</w:t>
      </w:r>
      <w:r>
        <w:rPr>
          <w:rFonts w:hint="eastAsia" w:ascii="Times New Roman" w:hAnsi="Times New Roman" w:eastAsia="宋体" w:cs="Times New Roman"/>
          <w:b/>
          <w:sz w:val="21"/>
          <w:szCs w:val="21"/>
          <w:u w:val="single"/>
          <w:lang w:eastAsia="zh-CN"/>
        </w:rPr>
        <w:t>、</w:t>
      </w:r>
      <w:r>
        <w:rPr>
          <w:rFonts w:hint="eastAsia" w:ascii="Times New Roman" w:hAnsi="Times New Roman" w:eastAsia="宋体" w:cs="Times New Roman"/>
          <w:b/>
          <w:sz w:val="21"/>
          <w:szCs w:val="21"/>
          <w:u w:val="single"/>
        </w:rPr>
        <w:t>OHSMS_____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r>
        <w:rPr>
          <w:rFonts w:hint="eastAsia"/>
          <w:b/>
          <w:sz w:val="21"/>
          <w:szCs w:val="21"/>
        </w:rPr>
        <w:sym w:font="Wingdings 2" w:char="00A3"/>
      </w:r>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rFonts w:hint="eastAsia" w:eastAsia="宋体"/>
          <w:b/>
          <w:sz w:val="21"/>
          <w:szCs w:val="21"/>
          <w:lang w:val="en-US" w:eastAsia="zh-CN"/>
        </w:rPr>
      </w:pPr>
      <w:r>
        <w:rPr>
          <w:rFonts w:hint="eastAsia"/>
          <w:b/>
          <w:sz w:val="21"/>
          <w:szCs w:val="21"/>
        </w:rPr>
        <w:sym w:font="Wingdings 2" w:char="00A3"/>
      </w:r>
      <w:r>
        <w:rPr>
          <w:rFonts w:hint="eastAsia"/>
          <w:b/>
          <w:sz w:val="21"/>
          <w:szCs w:val="21"/>
        </w:rPr>
        <w:t xml:space="preserve"> GB/T 28001-2011 idt OHSMS 18001:2007标准</w:t>
      </w:r>
      <w:r>
        <w:rPr>
          <w:rFonts w:hint="eastAsia"/>
          <w:b/>
          <w:sz w:val="21"/>
          <w:szCs w:val="21"/>
          <w:lang w:val="en-US" w:eastAsia="zh-CN"/>
        </w:rPr>
        <w:t xml:space="preserve"> </w:t>
      </w:r>
      <w:bookmarkStart w:id="26" w:name="_GoBack"/>
      <w:bookmarkEnd w:id="26"/>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GB/T</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w:t>
      </w:r>
      <w:r>
        <w:rPr>
          <w:rFonts w:hint="eastAsia"/>
          <w:b/>
          <w:sz w:val="21"/>
          <w:szCs w:val="21"/>
          <w:lang w:val="en-US" w:eastAsia="zh-CN"/>
        </w:rPr>
        <w:t xml:space="preserve"> </w:t>
      </w:r>
      <w:r>
        <w:rPr>
          <w:rFonts w:hint="eastAsia"/>
          <w:b/>
          <w:sz w:val="21"/>
          <w:szCs w:val="21"/>
        </w:rPr>
        <w:t>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8" w:name="组织名称Add"/>
            <w:r>
              <w:rPr>
                <w:rFonts w:ascii="宋体"/>
                <w:b/>
                <w:color w:val="auto"/>
                <w:sz w:val="21"/>
              </w:rPr>
              <w:t>福建森野科技有限公司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福建省泉州市南安市东田镇宏茂科技园</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362303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福建省泉州市南安市东田镇宏茂科技园</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362303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福建省泉州市南安市东田镇宏茂科技园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362303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何清鑫</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0595-86898299</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吕敦煌</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欧阳炜煌</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2021年05月29日 上午至2021年05月30日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rPr>
              <w:t>环保固液分离设备（压滤机、柱塞泵）的销售（法规强制要求范围除外）所涉及的相关环境管理活动。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ascii="宋体" w:hAnsi="宋体"/>
              </w:rPr>
              <w:t>环保固液分离设备（压滤机、柱塞泵）的销售（法规强制要求范围除外）所涉及的相关职业健康安全管理活动。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2020.4.7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2023.4.6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r>
              <w:rPr>
                <w:rFonts w:hint="eastAsia"/>
                <w:sz w:val="21"/>
                <w:szCs w:val="21"/>
              </w:rPr>
              <w:t>公司确定了与</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lang w:val="en-US" w:eastAsia="zh-CN"/>
              </w:rPr>
              <w:t>环境安全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Times New Roman" w:hAnsi="Times New Roman" w:cs="Times New Roman"/>
                <w:sz w:val="21"/>
                <w:szCs w:val="21"/>
                <w:lang w:val="en-US" w:eastAsia="zh-CN"/>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Times New Roman" w:hAnsi="Times New Roman" w:cs="Times New Roman"/>
                <w:sz w:val="21"/>
                <w:szCs w:val="21"/>
                <w:lang w:val="en-US" w:eastAsia="zh-CN"/>
              </w:rPr>
              <w:t>该企业的管理方针是：</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遵纪守法，爱护环境。安全第一，持续改进。</w:t>
            </w:r>
          </w:p>
          <w:p>
            <w:pPr>
              <w:spacing w:line="240" w:lineRule="exact"/>
              <w:rPr>
                <w:rFonts w:ascii="宋体" w:hAnsi="宋体"/>
                <w:b/>
                <w:sz w:val="21"/>
                <w:szCs w:val="21"/>
              </w:rPr>
            </w:pPr>
            <w:r>
              <w:rPr>
                <w:rFonts w:hint="eastAsia" w:ascii="Times New Roman" w:hAnsi="Times New Roman" w:cs="Times New Roman"/>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r>
              <w:rPr>
                <w:rFonts w:hint="eastAsia" w:ascii="Times New Roman" w:hAnsi="Times New Roman" w:eastAsia="宋体" w:cs="Times New Roman"/>
                <w:sz w:val="21"/>
                <w:szCs w:val="21"/>
                <w:lang w:val="en-US" w:eastAsia="zh-CN"/>
              </w:rPr>
              <w:t>编制了《风险和机遇控制程序》。</w:t>
            </w:r>
            <w:r>
              <w:rPr>
                <w:rFonts w:hint="eastAsia" w:ascii="Times New Roman" w:hAnsi="Times New Roman" w:eastAsia="宋体" w:cs="Times New Roman"/>
                <w:sz w:val="21"/>
                <w:szCs w:val="21"/>
              </w:rPr>
              <w:t>公司</w:t>
            </w:r>
            <w:r>
              <w:rPr>
                <w:rFonts w:hint="eastAsia" w:ascii="Times New Roman" w:hAnsi="Times New Roman" w:eastAsia="宋体" w:cs="Times New Roman"/>
                <w:sz w:val="21"/>
                <w:szCs w:val="21"/>
                <w:lang w:val="en-US" w:eastAsia="zh-CN"/>
              </w:rPr>
              <w:t>分别从顾客需求、公司内部、适用的法律法规等方面</w:t>
            </w:r>
            <w:r>
              <w:rPr>
                <w:rFonts w:hint="eastAsia" w:ascii="Times New Roman" w:hAnsi="Times New Roman" w:eastAsia="宋体" w:cs="Times New Roman"/>
                <w:sz w:val="21"/>
                <w:szCs w:val="21"/>
              </w:rPr>
              <w:t>识别了必要的风险和机遇，</w:t>
            </w:r>
            <w:r>
              <w:rPr>
                <w:rFonts w:hint="default" w:ascii="Times New Roman" w:hAnsi="Times New Roman" w:eastAsia="宋体" w:cs="Times New Roman"/>
                <w:sz w:val="21"/>
                <w:szCs w:val="21"/>
                <w:lang w:val="en-US" w:eastAsia="zh-CN"/>
              </w:rPr>
              <w:t>如</w:t>
            </w:r>
            <w:r>
              <w:rPr>
                <w:rFonts w:hint="eastAsia" w:ascii="Times New Roman" w:hAnsi="Times New Roman" w:eastAsia="宋体" w:cs="Times New Roman"/>
                <w:sz w:val="21"/>
                <w:szCs w:val="21"/>
                <w:lang w:val="en-US" w:eastAsia="zh-CN"/>
              </w:rPr>
              <w:t>政策风险、资源风险、销售风险、财务风险、销售服务安全风险、销售过程风险、管理风险等。</w:t>
            </w:r>
            <w:r>
              <w:rPr>
                <w:rFonts w:hint="eastAsia" w:ascii="Times New Roman" w:hAnsi="Times New Roman" w:eastAsia="宋体" w:cs="Times New Roman"/>
                <w:sz w:val="21"/>
                <w:szCs w:val="21"/>
              </w:rPr>
              <w:t>制定了相应的应对措施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如针对资源风险，主要是</w:t>
            </w:r>
            <w:r>
              <w:rPr>
                <w:rFonts w:hint="eastAsia" w:ascii="宋体" w:hAnsi="宋体"/>
              </w:rPr>
              <w:t>环保固液分离设备（压滤机、柱塞泵）的销售（法规强制要求范围除外）</w:t>
            </w:r>
            <w:r>
              <w:rPr>
                <w:rFonts w:hint="eastAsia" w:ascii="Times New Roman" w:hAnsi="Times New Roman" w:eastAsia="宋体" w:cs="Times New Roman"/>
                <w:sz w:val="21"/>
                <w:szCs w:val="21"/>
              </w:rPr>
              <w:t xml:space="preserve"> 所需的主要场所在</w:t>
            </w:r>
            <w:r>
              <w:rPr>
                <w:rFonts w:hint="eastAsia" w:ascii="Times New Roman" w:hAnsi="Times New Roman" w:eastAsia="宋体" w:cs="Times New Roman"/>
                <w:sz w:val="21"/>
                <w:szCs w:val="21"/>
                <w:lang w:val="en-US" w:eastAsia="zh-CN"/>
              </w:rPr>
              <w:t>附件</w:t>
            </w:r>
            <w:r>
              <w:rPr>
                <w:rFonts w:hint="eastAsia" w:ascii="Times New Roman" w:hAnsi="Times New Roman" w:eastAsia="宋体" w:cs="Times New Roman"/>
                <w:sz w:val="21"/>
                <w:szCs w:val="21"/>
              </w:rPr>
              <w:t>，本公司对市场上的主要提供的提供厂家进行资质考察，并对部分厂家样品进行性能测试，对于满足公司使用条件的，将其列入合格供方名录。当出现某供应商因发生突发事故或不可抗拒因素导致无法按时或按量提供原料时，将选择合格供方名录中的供应商紧急采购，保证生产及时进行，不影响服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eastAsia="宋体" w:cs="Times New Roman"/>
                <w:sz w:val="21"/>
                <w:szCs w:val="21"/>
                <w:lang w:val="en-US" w:eastAsia="zh-CN"/>
              </w:rPr>
              <w:t>综合部</w:t>
            </w:r>
            <w:r>
              <w:rPr>
                <w:rFonts w:hint="eastAsia" w:ascii="宋体" w:hAnsi="宋体"/>
                <w:sz w:val="21"/>
                <w:szCs w:val="21"/>
                <w:lang w:val="en-US" w:eastAsia="zh-CN"/>
              </w:rPr>
              <w:t>组织全体部门对所涉及的环境因素进行识别，</w:t>
            </w:r>
            <w:r>
              <w:rPr>
                <w:rFonts w:hint="eastAsia" w:ascii="Times New Roman" w:hAnsi="Times New Roman" w:eastAsia="宋体" w:cs="Times New Roman"/>
                <w:sz w:val="21"/>
                <w:szCs w:val="21"/>
                <w:lang w:val="en-US" w:eastAsia="zh-CN"/>
              </w:rPr>
              <w:t>并评价出重要环境因素，提供环境因素评价记录，目前环境因素识别基本完整，评价的重要环境因素有</w:t>
            </w:r>
            <w:r>
              <w:rPr>
                <w:rFonts w:hint="eastAsia" w:ascii="Times New Roman" w:hAnsi="Times New Roman" w:eastAsia="宋体" w:cs="Times New Roman"/>
                <w:lang w:val="en-US" w:eastAsia="zh-CN"/>
              </w:rPr>
              <w:t>废弃物的排放（包含危险废弃物）、</w:t>
            </w:r>
            <w:r>
              <w:rPr>
                <w:rFonts w:hint="default" w:ascii="Times New Roman" w:hAnsi="Times New Roman" w:eastAsia="宋体" w:cs="Times New Roman"/>
                <w:lang w:val="en-US" w:eastAsia="zh-CN"/>
              </w:rPr>
              <w:t>潜在火灾</w:t>
            </w:r>
            <w:r>
              <w:rPr>
                <w:rFonts w:hint="eastAsia" w:ascii="Times New Roman" w:hAnsi="Times New Roman" w:eastAsia="宋体" w:cs="Times New Roman"/>
                <w:sz w:val="21"/>
                <w:szCs w:val="21"/>
                <w:lang w:val="en-GB" w:eastAsia="zh-CN"/>
              </w:rPr>
              <w:t>，环境因素识别评价符合要</w:t>
            </w:r>
            <w:r>
              <w:rPr>
                <w:rFonts w:hint="eastAsia" w:ascii="宋体" w:hAnsi="宋体" w:eastAsia="宋体" w:cs="宋体"/>
                <w:color w:val="auto"/>
                <w:kern w:val="2"/>
                <w:sz w:val="21"/>
                <w:szCs w:val="21"/>
                <w:lang w:val="en-GB"/>
              </w:rPr>
              <w:t>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rFonts w:hint="eastAsia" w:ascii="宋体" w:hAnsi="宋体" w:eastAsia="宋体" w:cs="Times New Roman"/>
                <w:sz w:val="21"/>
                <w:szCs w:val="21"/>
                <w:lang w:val="en-US" w:eastAsia="zh-CN"/>
              </w:rPr>
              <w:t>综合部组织全体部门所涉及的危险源进行识别，并评价出重大危险源，提供重大危险源评价记录，目前危险源识别基本完整，评价的不可接受风险</w:t>
            </w:r>
            <w:r>
              <w:rPr>
                <w:rFonts w:hint="eastAsia" w:ascii="Times New Roman" w:hAnsi="Times New Roman" w:eastAsia="宋体" w:cs="Times New Roman"/>
                <w:lang w:val="en-US" w:eastAsia="zh-CN"/>
              </w:rPr>
              <w:t>触电、火灾等</w:t>
            </w:r>
            <w:r>
              <w:rPr>
                <w:rFonts w:hint="eastAsia" w:ascii="宋体" w:hAnsi="宋体" w:eastAsia="宋体" w:cs="Times New Roman"/>
                <w:sz w:val="21"/>
                <w:szCs w:val="21"/>
                <w:lang w:val="en-GB" w:eastAsia="zh-CN"/>
              </w:rPr>
              <w:t>，</w:t>
            </w:r>
            <w:r>
              <w:rPr>
                <w:rFonts w:hint="eastAsia" w:ascii="宋体" w:hAnsi="宋体" w:eastAsia="宋体" w:cs="Times New Roman"/>
                <w:sz w:val="21"/>
                <w:szCs w:val="21"/>
                <w:lang w:val="en-US" w:eastAsia="zh-CN"/>
              </w:rPr>
              <w:t>危险源</w:t>
            </w:r>
            <w:r>
              <w:rPr>
                <w:rFonts w:hint="eastAsia" w:ascii="宋体" w:hAnsi="宋体" w:eastAsia="宋体" w:cs="Times New Roman"/>
                <w:sz w:val="21"/>
                <w:szCs w:val="21"/>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240" w:lineRule="exact"/>
              <w:rPr>
                <w:rFonts w:hint="eastAsia" w:ascii="宋体" w:hAnsi="宋体" w:eastAsia="宋体" w:cs="Times New Roman"/>
                <w:sz w:val="21"/>
                <w:szCs w:val="21"/>
                <w:lang w:val="en-US" w:eastAsia="zh-CN"/>
              </w:rPr>
            </w:pPr>
            <w:r>
              <w:rPr>
                <w:rFonts w:hint="eastAsia" w:ascii="宋体" w:hAnsi="宋体"/>
                <w:b/>
                <w:sz w:val="21"/>
                <w:szCs w:val="21"/>
              </w:rPr>
              <w:t>（在相关层次上建立可测量的目标，目标、方案的有效性，对质量目标的实现情况进行评价并叙述测量方法）</w:t>
            </w:r>
            <w:r>
              <w:rPr>
                <w:rFonts w:hint="eastAsia" w:ascii="宋体" w:hAnsi="宋体" w:eastAsia="宋体" w:cs="Times New Roman"/>
                <w:sz w:val="21"/>
                <w:szCs w:val="21"/>
                <w:lang w:val="en-US" w:eastAsia="zh-CN"/>
              </w:rPr>
              <w:t>公司</w:t>
            </w:r>
            <w:r>
              <w:rPr>
                <w:rFonts w:hint="default" w:ascii="宋体" w:hAnsi="宋体" w:eastAsia="宋体" w:cs="Times New Roman"/>
                <w:sz w:val="21"/>
                <w:szCs w:val="21"/>
                <w:lang w:val="en-US" w:eastAsia="zh-CN"/>
              </w:rPr>
              <w:t>环境目标：</w:t>
            </w:r>
            <w:r>
              <w:rPr>
                <w:rFonts w:hint="eastAsia" w:ascii="宋体" w:hAnsi="宋体" w:eastAsia="宋体" w:cs="Times New Roman"/>
                <w:sz w:val="21"/>
                <w:szCs w:val="21"/>
                <w:lang w:val="en-US" w:eastAsia="zh-CN"/>
              </w:rPr>
              <w:t>1.固体废弃物分类管理，处置率100%；2.杜绝火灾事故。</w:t>
            </w:r>
          </w:p>
          <w:p>
            <w:pPr>
              <w:spacing w:line="240" w:lineRule="exact"/>
              <w:rPr>
                <w:rFonts w:hint="eastAsia" w:ascii="宋体" w:hAnsi="宋体" w:eastAsia="宋体" w:cs="Times New Roman"/>
                <w:sz w:val="21"/>
                <w:szCs w:val="21"/>
                <w:lang w:val="en-US" w:eastAsia="zh-CN"/>
              </w:rPr>
            </w:pPr>
            <w:r>
              <w:rPr>
                <w:rFonts w:hint="default" w:ascii="宋体" w:hAnsi="宋体" w:eastAsia="宋体" w:cs="Times New Roman"/>
                <w:sz w:val="21"/>
                <w:szCs w:val="21"/>
                <w:lang w:val="en-US" w:eastAsia="zh-CN"/>
              </w:rPr>
              <w:t>职业健康安全目标</w:t>
            </w:r>
            <w:r>
              <w:rPr>
                <w:rFonts w:hint="eastAsia" w:ascii="宋体" w:hAnsi="宋体" w:eastAsia="宋体" w:cs="Times New Roman"/>
                <w:sz w:val="21"/>
                <w:szCs w:val="21"/>
                <w:lang w:val="en-US" w:eastAsia="zh-CN"/>
              </w:rPr>
              <w:t>：1.触电事故为0次/年;2.火灾事故为0次/年；3.交通意外事故为0次/年。</w:t>
            </w:r>
          </w:p>
          <w:p>
            <w:pPr>
              <w:spacing w:line="240" w:lineRule="exact"/>
              <w:rPr>
                <w:rFonts w:ascii="宋体" w:hAnsi="宋体"/>
                <w:b/>
                <w:sz w:val="21"/>
                <w:szCs w:val="21"/>
              </w:rPr>
            </w:pPr>
            <w:r>
              <w:rPr>
                <w:rFonts w:hint="eastAsia" w:ascii="宋体" w:hAnsi="宋体" w:eastAsia="宋体" w:cs="Times New Roman"/>
                <w:sz w:val="21"/>
                <w:szCs w:val="21"/>
                <w:lang w:val="en-US" w:eastAsia="zh-CN"/>
              </w:rPr>
              <w:t>对目标进行了分解，建立了各部门的分目标，每月对目标进行考核，查看“2021年1-4月目标完成情况统计表”，目标已基本实现</w:t>
            </w:r>
            <w:r>
              <w:rPr>
                <w:rFonts w:hint="eastAsia" w:ascii="Times New Roman" w:hAnsi="Times New Roman" w:eastAsia="宋体" w:cs="Times New Roman"/>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w:t>
            </w:r>
            <w:r>
              <w:rPr>
                <w:rFonts w:hint="eastAsia" w:cs="宋体"/>
                <w:sz w:val="21"/>
                <w:szCs w:val="21"/>
                <w:lang w:eastAsia="zh-CN"/>
              </w:rPr>
              <w:t>部</w:t>
            </w:r>
            <w:r>
              <w:rPr>
                <w:rFonts w:hint="eastAsia" w:ascii="Times New Roman" w:hAnsi="Times New Roman" w:cs="宋体"/>
                <w:sz w:val="21"/>
                <w:szCs w:val="21"/>
              </w:rPr>
              <w:t>组织编写，总经理批准发布实施，</w:t>
            </w:r>
            <w:r>
              <w:rPr>
                <w:rFonts w:hint="eastAsia" w:cs="宋体"/>
                <w:sz w:val="21"/>
                <w:szCs w:val="21"/>
                <w:lang w:val="en-US" w:eastAsia="zh-CN"/>
              </w:rPr>
              <w:t>综合部</w:t>
            </w:r>
            <w:r>
              <w:rPr>
                <w:rFonts w:hint="eastAsia" w:ascii="Times New Roman" w:hAnsi="Times New Roman" w:cs="宋体"/>
                <w:sz w:val="21"/>
                <w:szCs w:val="21"/>
              </w:rPr>
              <w:t>打印传阅，公司文件柜存放，电子版本在电脑桌面上，每个人均可查阅。外来文件电子版本在电脑桌面上，每个人均可查阅。记录管理：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基础设施：主要设施：办公桌、办公椅、客座椅、电脑、空调、衣帽架、书柜办公设备；</w:t>
            </w: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工作环境：办公区域面积约200平米，布局合理，场所卫生干净整洁，工作环境良好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Times New Roman" w:hAnsi="Times New Roman" w:eastAsia="宋体" w:cs="Times New Roman"/>
                <w:sz w:val="21"/>
                <w:szCs w:val="21"/>
                <w:lang w:eastAsia="zh-CN"/>
              </w:rPr>
              <w:t>办公</w:t>
            </w:r>
            <w:r>
              <w:rPr>
                <w:rFonts w:hint="eastAsia" w:ascii="Times New Roman" w:hAnsi="Times New Roman" w:eastAsia="宋体" w:cs="Times New Roman"/>
                <w:sz w:val="21"/>
                <w:szCs w:val="21"/>
                <w:lang w:val="en-US" w:eastAsia="zh-CN"/>
              </w:rPr>
              <w:t>经营</w:t>
            </w:r>
            <w:r>
              <w:rPr>
                <w:rFonts w:hint="eastAsia" w:ascii="Times New Roman" w:hAnsi="Times New Roman" w:eastAsia="宋体" w:cs="Times New Roman"/>
                <w:sz w:val="21"/>
                <w:szCs w:val="21"/>
                <w:lang w:eastAsia="zh-CN"/>
              </w:rPr>
              <w:t>地点位于</w:t>
            </w:r>
            <w:r>
              <w:rPr>
                <w:rFonts w:hint="eastAsia"/>
                <w:bCs/>
                <w:sz w:val="21"/>
                <w:szCs w:val="21"/>
                <w:lang w:val="en-US" w:eastAsia="zh-CN"/>
              </w:rPr>
              <w:t>福建省泉州市南安市东田镇宏茂科技园</w:t>
            </w:r>
            <w:r>
              <w:rPr>
                <w:rFonts w:hint="eastAsia" w:ascii="Times New Roman" w:hAnsi="Times New Roman" w:eastAsia="宋体" w:cs="Times New Roman"/>
                <w:sz w:val="21"/>
                <w:szCs w:val="21"/>
                <w:lang w:eastAsia="zh-CN"/>
              </w:rPr>
              <w:t>，办公区域布局合理，场所卫生干净整洁，工作环境良好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sz w:val="21"/>
                <w:szCs w:val="21"/>
              </w:rPr>
              <w:t>公司对法律法规及其他要求进行了获取</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包括环境保护法、固体废物污染环境防治法、城市生活垃圾管理办法、大气污染防治法、水污染防治法、消防法、环境噪声污染防治法、消防法、固体废弃物环境防治法、劳动合同法、职业病防治法等法规要求。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b w:val="0"/>
                <w:bCs/>
                <w:sz w:val="21"/>
                <w:szCs w:val="21"/>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val="0"/>
                <w:bCs/>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240" w:lineRule="exact"/>
              <w:rPr>
                <w:rFonts w:hint="eastAsia" w:ascii="Times New Roman" w:hAnsi="Times New Roman" w:cs="Times New Roman"/>
                <w:sz w:val="21"/>
                <w:szCs w:val="21"/>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Times New Roman" w:hAnsi="Times New Roman" w:cs="Times New Roman"/>
                <w:sz w:val="21"/>
                <w:szCs w:val="21"/>
                <w:lang w:val="en-US" w:eastAsia="zh-CN"/>
              </w:rPr>
              <w:t>该企业的管理方针是：</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遵纪守法，爱护环境。安全第一，持续改进。</w:t>
            </w:r>
          </w:p>
          <w:p>
            <w:pPr>
              <w:spacing w:line="300" w:lineRule="exact"/>
              <w:ind w:left="1"/>
              <w:rPr>
                <w:rFonts w:ascii="宋体" w:hAnsi="宋体"/>
                <w:b/>
                <w:sz w:val="21"/>
                <w:szCs w:val="21"/>
              </w:rPr>
            </w:pPr>
            <w:r>
              <w:rPr>
                <w:rFonts w:hint="eastAsia" w:ascii="Times New Roman" w:hAnsi="Times New Roman" w:cs="Times New Roman"/>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Times New Roman" w:hAnsi="Times New Roman" w:eastAsia="宋体" w:cs="Times New Roman"/>
                <w:sz w:val="21"/>
                <w:szCs w:val="21"/>
                <w:lang w:val="en-US" w:eastAsia="zh-CN"/>
              </w:rPr>
            </w:pPr>
            <w:r>
              <w:rPr>
                <w:rFonts w:hint="eastAsia" w:ascii="宋体" w:hAnsi="宋体"/>
                <w:b/>
                <w:sz w:val="21"/>
                <w:szCs w:val="21"/>
              </w:rPr>
              <w:t>内部沟通的情况：内部沟通方式：</w:t>
            </w:r>
            <w:r>
              <w:rPr>
                <w:rFonts w:hint="eastAsia" w:ascii="Times New Roman" w:hAnsi="Times New Roman" w:eastAsia="宋体" w:cs="Times New Roman"/>
                <w:sz w:val="21"/>
                <w:szCs w:val="21"/>
                <w:lang w:val="en-US" w:eastAsia="zh-CN"/>
              </w:rPr>
              <w:t>文件、会议、电话、网络、面谈等方式进行内部沟通</w:t>
            </w:r>
          </w:p>
          <w:p>
            <w:pPr>
              <w:spacing w:line="240" w:lineRule="exact"/>
              <w:ind w:firstLine="1687" w:firstLineChars="800"/>
              <w:rPr>
                <w:rFonts w:ascii="宋体" w:hAnsi="宋体"/>
                <w:b/>
                <w:sz w:val="21"/>
                <w:szCs w:val="21"/>
              </w:rPr>
            </w:pPr>
            <w:r>
              <w:rPr>
                <w:rFonts w:hint="eastAsia" w:ascii="宋体" w:hAnsi="宋体"/>
                <w:b/>
                <w:sz w:val="21"/>
                <w:szCs w:val="21"/>
              </w:rPr>
              <w:t>内部沟通的效果：</w:t>
            </w:r>
            <w:r>
              <w:rPr>
                <w:rFonts w:hint="eastAsia" w:ascii="Times New Roman" w:hAnsi="Times New Roman" w:eastAsia="宋体" w:cs="Times New Roman"/>
                <w:sz w:val="21"/>
                <w:szCs w:val="21"/>
                <w:lang w:val="en-US" w:eastAsia="zh-CN"/>
              </w:rPr>
              <w:t>沟通较为顺畅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Times New Roman" w:hAnsi="Times New Roman" w:eastAsia="宋体" w:cs="Times New Roman"/>
                <w:sz w:val="21"/>
                <w:szCs w:val="21"/>
                <w:lang w:val="en-US" w:eastAsia="zh-CN"/>
              </w:rPr>
              <w:t>对顾客回访，进行满意度调查。</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Times New Roman" w:hAnsi="Times New Roman" w:eastAsia="宋体" w:cs="Times New Roman"/>
                <w:sz w:val="21"/>
                <w:szCs w:val="21"/>
                <w:lang w:val="en-US" w:eastAsia="zh-CN"/>
              </w:rPr>
              <w:t>与上级主管部门的沟通，目前沟通都较为顺畅。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Times New Roman" w:hAnsi="Times New Roman" w:eastAsia="宋体" w:cs="Times New Roman"/>
                <w:sz w:val="21"/>
                <w:szCs w:val="21"/>
                <w:lang w:val="en-US" w:eastAsia="zh-CN"/>
              </w:rPr>
              <w:t>外部沟通：文件、会议、电话、面谈、网络等，主要与顾客、供方、上级主管部门的沟通，目前各项沟通都较为顺畅</w:t>
            </w:r>
            <w:r>
              <w:rPr>
                <w:rFonts w:hint="eastAsia" w:ascii="宋体" w:hAnsi="宋体"/>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Times New Roman" w:hAnsi="Times New Roman" w:eastAsia="宋体"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imes New Roman" w:hAnsi="Times New Roman" w:eastAsia="宋体" w:cs="Times New Roman"/>
                <w:sz w:val="21"/>
                <w:szCs w:val="21"/>
                <w:lang w:val="en-US" w:eastAsia="zh-CN"/>
              </w:rPr>
              <w:t>公司制定实施了《环境管理制度》、《销售过程环境运行控制程序》、《节约资源管理规定》等环境管理制度。 针对各部门所负责的工作，分别对环境运行过程进行控制</w:t>
            </w:r>
            <w:r>
              <w:rPr>
                <w:rFonts w:hint="eastAsia" w:ascii="Times New Roman" w:hAnsi="Times New Roman" w:eastAsia="宋体" w:cs="Times New Roman"/>
                <w:sz w:val="21"/>
                <w:szCs w:val="21"/>
                <w:lang w:val="en-GB" w:eastAsia="zh-CN"/>
              </w:rPr>
              <w:t>，</w:t>
            </w:r>
            <w:r>
              <w:rPr>
                <w:rFonts w:hint="eastAsia" w:ascii="Times New Roman" w:hAnsi="Times New Roman" w:eastAsia="宋体" w:cs="Times New Roman"/>
                <w:sz w:val="21"/>
                <w:szCs w:val="21"/>
                <w:lang w:val="en-US" w:eastAsia="zh-CN"/>
              </w:rPr>
              <w:t>涉及有固废处置、资源控制、火灾、相关方施加影响等。提供有办公区环境检查记录、固体废弃物处理记录、资源消耗统计表、相关方告知书及发放记录。办公区域干净整洁，配置灭火器等消防设施。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r>
              <w:rPr>
                <w:rFonts w:hint="eastAsia"/>
                <w:sz w:val="21"/>
                <w:szCs w:val="21"/>
                <w:lang w:val="en-GB"/>
              </w:rPr>
              <w:t>编制</w:t>
            </w:r>
            <w:r>
              <w:rPr>
                <w:rFonts w:hint="eastAsia" w:ascii="宋体" w:hAnsi="宋体" w:eastAsia="宋体" w:cs="宋体"/>
                <w:b w:val="0"/>
                <w:bCs/>
                <w:sz w:val="21"/>
              </w:rPr>
              <w:t>危险源</w:t>
            </w:r>
            <w:r>
              <w:rPr>
                <w:rFonts w:hint="eastAsia" w:ascii="宋体" w:hAnsi="宋体" w:eastAsia="宋体" w:cs="宋体"/>
                <w:b w:val="0"/>
                <w:bCs/>
                <w:sz w:val="21"/>
                <w:lang w:val="en-US" w:eastAsia="zh-CN"/>
              </w:rPr>
              <w:t>辨识、风险评价和控制措施确定控制程序、环境和职业健康安全绩效检测程序</w:t>
            </w:r>
            <w:r>
              <w:rPr>
                <w:rFonts w:hint="eastAsia" w:ascii="宋体" w:hAnsi="宋体" w:eastAsia="宋体" w:cs="宋体"/>
              </w:rPr>
              <w:t>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w:t>
            </w:r>
            <w:r>
              <w:rPr>
                <w:rFonts w:hint="eastAsia" w:ascii="方正仿宋简体" w:eastAsia="方正仿宋简体"/>
                <w:b w:val="0"/>
                <w:bCs/>
                <w:color w:val="auto"/>
                <w:lang w:val="en-US" w:eastAsia="zh-CN"/>
              </w:rPr>
              <w:t>。</w:t>
            </w:r>
            <w:r>
              <w:rPr>
                <w:rFonts w:hint="eastAsia"/>
                <w:color w:val="auto"/>
                <w:sz w:val="21"/>
                <w:szCs w:val="21"/>
              </w:rPr>
              <w:t>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GB"/>
              </w:rPr>
              <w:t>编制应急准备和响应控制程序，识别的潜在意外紧急</w:t>
            </w:r>
            <w:r>
              <w:rPr>
                <w:rFonts w:hint="eastAsia" w:ascii="Times New Roman" w:hAnsi="Times New Roman" w:cs="Times New Roman"/>
                <w:sz w:val="21"/>
                <w:szCs w:val="21"/>
                <w:lang w:val="en-GB"/>
              </w:rPr>
              <w:t>情况为</w:t>
            </w:r>
            <w:r>
              <w:rPr>
                <w:rFonts w:hint="eastAsia" w:ascii="Times New Roman" w:hAnsi="Times New Roman" w:cs="Times New Roman"/>
                <w:sz w:val="21"/>
                <w:szCs w:val="21"/>
                <w:lang w:val="en-US" w:eastAsia="zh-CN"/>
              </w:rPr>
              <w:t>火灾、触电、高温中暑</w:t>
            </w:r>
            <w:r>
              <w:rPr>
                <w:rFonts w:hint="eastAsia" w:ascii="Times New Roman" w:hAnsi="Times New Roman" w:cs="Times New Roman"/>
                <w:sz w:val="21"/>
                <w:szCs w:val="21"/>
                <w:lang w:val="en-GB"/>
              </w:rPr>
              <w:t>等。编制了应急预案，组织了</w:t>
            </w:r>
            <w:r>
              <w:rPr>
                <w:rFonts w:hint="eastAsia" w:ascii="Times New Roman" w:hAnsi="Times New Roman" w:cs="Times New Roman"/>
                <w:sz w:val="21"/>
                <w:szCs w:val="21"/>
                <w:lang w:val="en-US" w:eastAsia="zh-CN"/>
              </w:rPr>
              <w:t>相应应急演练</w:t>
            </w:r>
            <w:r>
              <w:rPr>
                <w:rFonts w:hint="eastAsia" w:ascii="Times New Roman" w:hAnsi="Times New Roman" w:cs="Times New Roman"/>
                <w:sz w:val="21"/>
                <w:szCs w:val="21"/>
                <w:lang w:val="en-GB"/>
              </w:rPr>
              <w:t>，提供了</w:t>
            </w:r>
            <w:r>
              <w:rPr>
                <w:rFonts w:hint="eastAsia" w:ascii="Times New Roman" w:hAnsi="Times New Roman" w:cs="Times New Roman"/>
                <w:sz w:val="21"/>
                <w:szCs w:val="21"/>
                <w:lang w:val="en-GB" w:eastAsia="zh-CN"/>
              </w:rPr>
              <w:t>相</w:t>
            </w:r>
            <w:r>
              <w:rPr>
                <w:rFonts w:hint="eastAsia"/>
                <w:sz w:val="21"/>
                <w:szCs w:val="21"/>
                <w:lang w:val="en-GB" w:eastAsia="zh-CN"/>
              </w:rPr>
              <w:t>应</w:t>
            </w:r>
            <w:r>
              <w:rPr>
                <w:rFonts w:hint="eastAsia"/>
                <w:sz w:val="21"/>
                <w:szCs w:val="21"/>
                <w:lang w:val="en-GB"/>
              </w:rPr>
              <w:t>记录。</w:t>
            </w:r>
            <w:r>
              <w:rPr>
                <w:rFonts w:hint="eastAsia"/>
                <w:sz w:val="21"/>
                <w:szCs w:val="21"/>
                <w:lang w:val="en-US" w:eastAsia="zh-CN"/>
              </w:rPr>
              <w:t>通过演练对预案可行性进行了评价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月</w:t>
            </w:r>
            <w:r>
              <w:rPr>
                <w:rFonts w:hint="eastAsia"/>
                <w:sz w:val="21"/>
                <w:szCs w:val="21"/>
              </w:rPr>
              <w:t>考核一次，查看20</w:t>
            </w:r>
            <w:r>
              <w:rPr>
                <w:rFonts w:hint="eastAsia"/>
                <w:sz w:val="21"/>
                <w:szCs w:val="21"/>
                <w:lang w:val="en-US" w:eastAsia="zh-CN"/>
              </w:rPr>
              <w:t>21</w:t>
            </w:r>
            <w:r>
              <w:rPr>
                <w:rFonts w:hint="eastAsia"/>
                <w:sz w:val="21"/>
                <w:szCs w:val="21"/>
              </w:rPr>
              <w:t>年</w:t>
            </w:r>
            <w:r>
              <w:rPr>
                <w:rFonts w:hint="eastAsia"/>
                <w:sz w:val="21"/>
                <w:szCs w:val="21"/>
                <w:lang w:val="en-US" w:eastAsia="zh-CN"/>
              </w:rPr>
              <w:t>1-4月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20年12月8日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15</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300" w:lineRule="exact"/>
              <w:rPr>
                <w:rFonts w:hint="eastAsia" w:eastAsia="宋体"/>
                <w:b/>
                <w:color w:val="auto"/>
                <w:sz w:val="20"/>
                <w:szCs w:val="20"/>
                <w:lang w:eastAsia="zh-CN"/>
              </w:rPr>
            </w:pPr>
            <w:r>
              <w:rPr>
                <w:rFonts w:hint="eastAsia"/>
                <w:b/>
                <w:color w:val="auto"/>
                <w:sz w:val="20"/>
                <w:szCs w:val="20"/>
                <w:lang w:eastAsia="zh-CN"/>
              </w:rPr>
              <w:t>对员工进行了体检的证据，符合要求。无职业病。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rPr>
                <w:rFonts w:hint="eastAsia"/>
              </w:rPr>
              <w:t>创新情况</w:t>
            </w:r>
          </w:p>
          <w:p>
            <w:pPr>
              <w:pStyle w:val="2"/>
              <w:numPr>
                <w:ilvl w:val="0"/>
                <w:numId w:val="0"/>
              </w:num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cs="Times New Roman"/>
                <w:b/>
                <w:sz w:val="21"/>
                <w:szCs w:val="21"/>
              </w:rPr>
            </w:pPr>
            <w:r>
              <w:rPr>
                <w:rFonts w:hint="eastAsia" w:ascii="宋体" w:hAnsi="宋体" w:cs="Times New Roman"/>
                <w:b/>
                <w:sz w:val="21"/>
                <w:szCs w:val="21"/>
                <w:lang w:val="en-US" w:eastAsia="zh-CN"/>
              </w:rPr>
              <w:t>4.</w:t>
            </w:r>
            <w:r>
              <w:rPr>
                <w:rFonts w:hint="eastAsia" w:ascii="宋体" w:hAnsi="宋体" w:cs="Times New Roman"/>
                <w:b/>
                <w:sz w:val="21"/>
                <w:szCs w:val="21"/>
              </w:rPr>
              <w:t>上次不符合的整改情况</w:t>
            </w:r>
          </w:p>
          <w:p>
            <w:pPr>
              <w:pStyle w:val="2"/>
              <w:numPr>
                <w:ilvl w:val="0"/>
                <w:numId w:val="0"/>
              </w:numPr>
              <w:ind w:leftChars="0"/>
            </w:pPr>
            <w:r>
              <w:rPr>
                <w:rFonts w:hint="eastAsia" w:ascii="宋体" w:hAnsi="宋体"/>
                <w:b/>
                <w:sz w:val="21"/>
                <w:szCs w:val="21"/>
                <w:lang w:val="en-US" w:eastAsia="zh-CN"/>
              </w:rPr>
              <w:t>已整改完成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综合部</w:t>
      </w:r>
      <w:r>
        <w:rPr>
          <w:rFonts w:hint="eastAsia" w:ascii="宋体" w:hAnsi="宋体"/>
          <w:b/>
          <w:szCs w:val="21"/>
        </w:rPr>
        <w:t>条款</w:t>
      </w:r>
      <w:r>
        <w:rPr>
          <w:rFonts w:hint="eastAsia" w:ascii="宋体" w:hAnsi="宋体"/>
          <w:b/>
          <w:szCs w:val="21"/>
          <w:lang w:val="en-US" w:eastAsia="zh-CN"/>
        </w:rPr>
        <w:t>E7.3\O7.3</w:t>
      </w:r>
      <w:r>
        <w:rPr>
          <w:rFonts w:hint="eastAsia" w:ascii="宋体" w:hAnsi="宋体"/>
          <w:b/>
          <w:szCs w:val="21"/>
        </w:rPr>
        <w:t>，见不符合项分布表。（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Times New Roman" w:hAnsi="Times New Roman" w:eastAsia="宋体" w:cs="Times New Roman"/>
                <w:sz w:val="21"/>
                <w:szCs w:val="21"/>
                <w:u w:val="single"/>
                <w:lang w:val="en-US" w:eastAsia="zh-CN"/>
              </w:rPr>
              <w:t>福建森野科技有限公司</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2336" behindDoc="0" locked="0" layoutInCell="1" allowOverlap="1">
            <wp:simplePos x="0" y="0"/>
            <wp:positionH relativeFrom="column">
              <wp:posOffset>1657985</wp:posOffset>
            </wp:positionH>
            <wp:positionV relativeFrom="paragraph">
              <wp:posOffset>151765</wp:posOffset>
            </wp:positionV>
            <wp:extent cx="792480" cy="421005"/>
            <wp:effectExtent l="0" t="0" r="0" b="571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792480" cy="42100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2020.6.4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eastAsia="宋体"/>
          <w:b/>
          <w:sz w:val="21"/>
          <w:lang w:eastAsia="zh-CN"/>
        </w:rPr>
        <w:drawing>
          <wp:anchor distT="0" distB="0" distL="114300" distR="114300" simplePos="0" relativeHeight="251663360" behindDoc="0" locked="0" layoutInCell="1" allowOverlap="1">
            <wp:simplePos x="0" y="0"/>
            <wp:positionH relativeFrom="column">
              <wp:posOffset>1155065</wp:posOffset>
            </wp:positionH>
            <wp:positionV relativeFrom="paragraph">
              <wp:posOffset>250190</wp:posOffset>
            </wp:positionV>
            <wp:extent cx="792480" cy="421005"/>
            <wp:effectExtent l="0" t="0" r="0" b="5715"/>
            <wp:wrapNone/>
            <wp:docPr id="2" name="图片 2"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蒙生"/>
                    <pic:cNvPicPr>
                      <a:picLocks noChangeAspect="1"/>
                    </pic:cNvPicPr>
                  </pic:nvPicPr>
                  <pic:blipFill>
                    <a:blip r:embed="rId6"/>
                    <a:stretch>
                      <a:fillRect/>
                    </a:stretch>
                  </pic:blipFill>
                  <pic:spPr>
                    <a:xfrm>
                      <a:off x="0" y="0"/>
                      <a:ext cx="792480" cy="42100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08A71"/>
    <w:multiLevelType w:val="singleLevel"/>
    <w:tmpl w:val="BB108A71"/>
    <w:lvl w:ilvl="0" w:tentative="0">
      <w:start w:val="5"/>
      <w:numFmt w:val="decimal"/>
      <w:suff w:val="space"/>
      <w:lvlText w:val="%1."/>
      <w:lvlJc w:val="left"/>
    </w:lvl>
  </w:abstractNum>
  <w:abstractNum w:abstractNumId="1">
    <w:nsid w:val="3582BF57"/>
    <w:multiLevelType w:val="singleLevel"/>
    <w:tmpl w:val="3582BF57"/>
    <w:lvl w:ilvl="0" w:tentative="0">
      <w:start w:val="3"/>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9F7691"/>
    <w:rsid w:val="6F445135"/>
    <w:rsid w:val="7BE66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李蒙生</cp:lastModifiedBy>
  <cp:lastPrinted>2019-04-18T08:15:00Z</cp:lastPrinted>
  <dcterms:modified xsi:type="dcterms:W3CDTF">2021-06-06T05:05:28Z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269285471_btnclosed</vt:lpwstr>
  </property>
  <property fmtid="{D5CDD505-2E9C-101B-9397-08002B2CF9AE}" pid="4" name="ICV">
    <vt:lpwstr>D7C328F94A73426C8BE30FD4115FE00E</vt:lpwstr>
  </property>
</Properties>
</file>