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襄阳坤隆建材科技有限公司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45720</wp:posOffset>
                  </wp:positionV>
                  <wp:extent cx="3246755" cy="741680"/>
                  <wp:effectExtent l="0" t="0" r="4445" b="762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7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关键过程：按配合比要求计量（称重）和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混合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（定时控制）两个，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>需要确认过程</w:t>
            </w:r>
            <w:r>
              <w:rPr>
                <w:rFonts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>按配合比要求计量（称重）和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  <w:lang w:val="en-US" w:eastAsia="zh-CN"/>
              </w:rPr>
              <w:t>混合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>（定时控制）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  <w:lang w:val="en-US" w:eastAsia="zh-CN"/>
              </w:rPr>
              <w:t>提供过程能力确认表和关键过程作业指导书。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Lines="50" w:line="200" w:lineRule="exact"/>
              <w:ind w:firstLine="42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查到《重要环境因素清单》已识别重要环境因素包括：粉尘的排放、噪声的排放，明确的控制措施和责任部门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提供《不可接受风险清单》有：职业病；高空坠落；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，并制定有控制措施。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GB/T25181-2019预拌砂浆、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DGQC01水泥检验规程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DG/QCO27建筑用砂检验规程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DG/QC04外加剂试验方法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DGQC05外加剂匀质性试验方法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DGQC06用于水泥和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中的粉煤灰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DGQC08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配合比设计实验规程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DGQC012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原材料抽样方法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DGQC014计量仪器设备自校规程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生产操作作业规程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混合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系统配料、称量作业规程（包括配料参数设定、配料秤标定）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按要求对原材料、生产过程和产品进行检验，检验项目有：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细度模块                                  表观密度试验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堆积密度试验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含泥量试验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泥块含量试验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/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配比设计检验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邱锋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5B2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2021-07-05T08:08:42Z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64B1DF194EC847D7AF3ED1138882A8D0</vt:lpwstr>
  </property>
</Properties>
</file>