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0397-2021-QEO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襄阳坤隆建材科技有限公司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邱锋</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Q:16.02.04</w:t>
            </w:r>
          </w:p>
          <w:p>
            <w:pPr>
              <w:spacing w:line="240" w:lineRule="exact"/>
              <w:jc w:val="center"/>
              <w:rPr>
                <w:b/>
                <w:color w:val="000000"/>
                <w:sz w:val="20"/>
                <w:szCs w:val="20"/>
              </w:rPr>
            </w:pPr>
            <w:r>
              <w:rPr>
                <w:b/>
                <w:color w:val="000000"/>
                <w:sz w:val="20"/>
                <w:szCs w:val="20"/>
              </w:rPr>
              <w:t>E:16.02.04</w:t>
            </w:r>
          </w:p>
          <w:p>
            <w:pPr>
              <w:spacing w:line="240" w:lineRule="exact"/>
              <w:jc w:val="center"/>
              <w:rPr>
                <w:b/>
                <w:color w:val="000000"/>
                <w:sz w:val="20"/>
                <w:szCs w:val="20"/>
              </w:rPr>
            </w:pPr>
            <w:r>
              <w:rPr>
                <w:b/>
                <w:color w:val="000000"/>
                <w:sz w:val="20"/>
                <w:szCs w:val="20"/>
              </w:rPr>
              <w:t>O:16.02.04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襄阳坤隆建材科技有限公司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襄阳市襄州区古驿镇外沟村（红林铺小学内）</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441122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襄阳市襄州区古驿镇外沟村（红林铺小学内）</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441122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杨起言</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13797677666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罗英</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杨起言</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342942477@qq.com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2020年6月26日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Q：干混砂浆的生产及销售</w:t>
            </w:r>
          </w:p>
          <w:p>
            <w:pPr>
              <w:spacing w:line="400" w:lineRule="exact"/>
              <w:rPr>
                <w:rFonts w:ascii="宋体" w:hAnsi="宋体"/>
                <w:b/>
                <w:color w:val="000000"/>
                <w:sz w:val="20"/>
                <w:szCs w:val="20"/>
              </w:rPr>
            </w:pPr>
            <w:r>
              <w:rPr>
                <w:rFonts w:ascii="宋体" w:hAnsi="宋体"/>
                <w:b/>
                <w:color w:val="000000"/>
                <w:sz w:val="20"/>
                <w:szCs w:val="20"/>
              </w:rPr>
              <w:t>E：干混砂浆的生产及销售所涉及场所的相关环境管理活动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O：干混砂浆的生产及销售所涉及场所的相关职业健康安全管理活动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Q：16.02.04</w:t>
            </w:r>
          </w:p>
          <w:p>
            <w:pPr>
              <w:spacing w:line="280" w:lineRule="exact"/>
              <w:rPr>
                <w:rFonts w:ascii="宋体"/>
                <w:b/>
                <w:color w:val="000000"/>
                <w:sz w:val="20"/>
                <w:szCs w:val="20"/>
              </w:rPr>
            </w:pPr>
            <w:r>
              <w:rPr>
                <w:rFonts w:ascii="宋体"/>
                <w:b/>
                <w:color w:val="000000"/>
                <w:sz w:val="20"/>
                <w:szCs w:val="20"/>
              </w:rPr>
              <w:t>E：16.02.04</w:t>
            </w:r>
          </w:p>
          <w:p>
            <w:pPr>
              <w:spacing w:line="280" w:lineRule="exact"/>
              <w:rPr>
                <w:rFonts w:ascii="宋体"/>
                <w:b/>
                <w:color w:val="000000"/>
                <w:sz w:val="20"/>
                <w:szCs w:val="20"/>
              </w:rPr>
            </w:pPr>
            <w:r>
              <w:rPr>
                <w:rFonts w:ascii="宋体"/>
                <w:b/>
                <w:color w:val="000000"/>
                <w:sz w:val="20"/>
                <w:szCs w:val="20"/>
              </w:rPr>
              <w:t>O：16.02.04</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bookmarkStart w:id="24" w:name="_GoBack"/>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管理手册、程序文件、法律法规、内审、管理评审、特种设备等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sz w:val="21"/>
          <w:szCs w:val="21"/>
        </w:rPr>
        <w:t>管理层、</w:t>
      </w:r>
      <w:r>
        <w:rPr>
          <w:rFonts w:hint="eastAsia"/>
          <w:sz w:val="21"/>
          <w:szCs w:val="21"/>
          <w:lang w:val="en-US" w:eastAsia="zh-CN"/>
        </w:rPr>
        <w:t>综合</w:t>
      </w:r>
      <w:r>
        <w:rPr>
          <w:rFonts w:hint="eastAsia"/>
          <w:sz w:val="21"/>
          <w:szCs w:val="21"/>
        </w:rPr>
        <w:t>部、</w:t>
      </w:r>
      <w:r>
        <w:rPr>
          <w:rFonts w:hint="eastAsia"/>
          <w:sz w:val="21"/>
          <w:szCs w:val="21"/>
          <w:lang w:val="en-US" w:eastAsia="zh-CN"/>
        </w:rPr>
        <w:t>采购</w:t>
      </w:r>
      <w:r>
        <w:rPr>
          <w:rFonts w:hint="eastAsia"/>
          <w:sz w:val="21"/>
          <w:szCs w:val="21"/>
        </w:rPr>
        <w:t>部、生产部、</w:t>
      </w:r>
      <w:r>
        <w:rPr>
          <w:rFonts w:hint="eastAsia"/>
          <w:sz w:val="21"/>
          <w:szCs w:val="21"/>
          <w:lang w:val="en-US" w:eastAsia="zh-CN"/>
        </w:rPr>
        <w:t>实验</w:t>
      </w:r>
      <w:r>
        <w:rPr>
          <w:rFonts w:hint="eastAsia"/>
          <w:sz w:val="21"/>
          <w:szCs w:val="21"/>
        </w:rPr>
        <w:t>室、</w:t>
      </w:r>
      <w:r>
        <w:rPr>
          <w:rFonts w:hint="eastAsia"/>
          <w:sz w:val="21"/>
          <w:szCs w:val="21"/>
          <w:lang w:val="en-US" w:eastAsia="zh-CN"/>
        </w:rPr>
        <w:t>销售</w:t>
      </w:r>
      <w:r>
        <w:rPr>
          <w:rFonts w:hint="eastAsia"/>
          <w:sz w:val="21"/>
          <w:szCs w:val="21"/>
        </w:rPr>
        <w:t>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val="0"/>
          <w:bCs/>
          <w:color w:val="000000"/>
          <w:sz w:val="20"/>
          <w:szCs w:val="20"/>
          <w:lang w:val="en-US" w:eastAsia="zh-CN"/>
        </w:rPr>
        <w:t>车间、办公场所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8.3</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3168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3168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3168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3168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3168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168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环境</w:t>
            </w:r>
          </w:p>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val="de-DE"/>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t>干混砂浆的生产及销售</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spacing w:line="300" w:lineRule="auto"/>
              <w:rPr>
                <w:rFonts w:ascii="宋体"/>
                <w:b/>
                <w:color w:val="000000"/>
                <w:sz w:val="20"/>
                <w:szCs w:val="20"/>
              </w:rPr>
            </w:pPr>
            <w:r>
              <w:rPr>
                <w:rFonts w:hint="eastAsia" w:ascii="宋体" w:hAnsi="宋体"/>
                <w:b/>
                <w:color w:val="000000"/>
                <w:sz w:val="20"/>
                <w:szCs w:val="20"/>
              </w:rPr>
              <w:t>公司部门设置：</w:t>
            </w:r>
            <w:r>
              <w:rPr>
                <w:rFonts w:hint="eastAsia"/>
                <w:sz w:val="21"/>
                <w:szCs w:val="21"/>
                <w:lang w:val="en-US" w:eastAsia="zh-CN"/>
              </w:rPr>
              <w:t>综合</w:t>
            </w:r>
            <w:r>
              <w:rPr>
                <w:rFonts w:hint="eastAsia"/>
                <w:sz w:val="21"/>
                <w:szCs w:val="21"/>
              </w:rPr>
              <w:t>部、</w:t>
            </w:r>
            <w:r>
              <w:rPr>
                <w:rFonts w:hint="eastAsia"/>
                <w:sz w:val="21"/>
                <w:szCs w:val="21"/>
                <w:lang w:val="en-US" w:eastAsia="zh-CN"/>
              </w:rPr>
              <w:t>采购</w:t>
            </w:r>
            <w:r>
              <w:rPr>
                <w:rFonts w:hint="eastAsia"/>
                <w:sz w:val="21"/>
                <w:szCs w:val="21"/>
              </w:rPr>
              <w:t>部、生产部、</w:t>
            </w:r>
            <w:r>
              <w:rPr>
                <w:rFonts w:hint="eastAsia"/>
                <w:sz w:val="21"/>
                <w:szCs w:val="21"/>
                <w:lang w:val="en-US" w:eastAsia="zh-CN"/>
              </w:rPr>
              <w:t>实验</w:t>
            </w:r>
            <w:r>
              <w:rPr>
                <w:rFonts w:hint="eastAsia"/>
                <w:sz w:val="21"/>
                <w:szCs w:val="21"/>
              </w:rPr>
              <w:t>室、</w:t>
            </w:r>
            <w:r>
              <w:rPr>
                <w:rFonts w:hint="eastAsia"/>
                <w:sz w:val="21"/>
                <w:szCs w:val="21"/>
                <w:lang w:val="en-US" w:eastAsia="zh-CN"/>
              </w:rPr>
              <w:t>销售</w:t>
            </w:r>
            <w:r>
              <w:rPr>
                <w:rFonts w:hint="eastAsia"/>
                <w:sz w:val="21"/>
                <w:szCs w:val="21"/>
              </w:rPr>
              <w:t>部</w:t>
            </w:r>
            <w:r>
              <w:rPr>
                <w:rFonts w:hint="eastAsia"/>
                <w:sz w:val="21"/>
                <w:szCs w:val="21"/>
                <w:lang w:eastAsia="zh-CN"/>
              </w:rPr>
              <w:t>、</w:t>
            </w:r>
            <w:r>
              <w:rPr>
                <w:rFonts w:hint="eastAsia"/>
                <w:sz w:val="21"/>
                <w:szCs w:val="21"/>
                <w:lang w:val="en-US" w:eastAsia="zh-CN"/>
              </w:rPr>
              <w:t>财务部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sz w:val="21"/>
                <w:szCs w:val="21"/>
                <w:lang w:val="en-US" w:eastAsia="zh-CN"/>
              </w:rPr>
              <w:t>综合</w:t>
            </w:r>
            <w:r>
              <w:rPr>
                <w:rFonts w:hint="eastAsia"/>
                <w:sz w:val="21"/>
                <w:szCs w:val="21"/>
              </w:rPr>
              <w:t>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sz w:val="21"/>
                <w:szCs w:val="21"/>
                <w:lang w:val="en-US" w:eastAsia="zh-CN"/>
              </w:rPr>
              <w:t>综合</w:t>
            </w:r>
            <w:r>
              <w:rPr>
                <w:rFonts w:hint="eastAsia"/>
                <w:sz w:val="21"/>
                <w:szCs w:val="21"/>
              </w:rPr>
              <w:t>部</w:t>
            </w:r>
            <w:r>
              <w:rPr>
                <w:rFonts w:hint="eastAsia" w:ascii="宋体" w:hAnsi="宋体"/>
                <w:b/>
                <w:color w:val="000000"/>
                <w:sz w:val="20"/>
                <w:szCs w:val="20"/>
              </w:rPr>
              <w:t>、</w:t>
            </w:r>
            <w:r>
              <w:rPr>
                <w:rFonts w:hint="eastAsia" w:ascii="宋体" w:hAnsi="宋体"/>
                <w:b w:val="0"/>
                <w:bCs/>
                <w:color w:val="000000"/>
                <w:sz w:val="20"/>
                <w:szCs w:val="20"/>
              </w:rPr>
              <w:t>生产部</w:t>
            </w:r>
            <w:r>
              <w:rPr>
                <w:rFonts w:hint="eastAsia" w:ascii="宋体" w:hAnsi="宋体"/>
                <w:b/>
                <w:color w:val="000000"/>
                <w:sz w:val="20"/>
                <w:szCs w:val="20"/>
                <w:lang w:eastAsia="zh-CN"/>
              </w:rPr>
              <w:t>、</w:t>
            </w:r>
            <w:r>
              <w:rPr>
                <w:rFonts w:hint="eastAsia"/>
                <w:sz w:val="21"/>
                <w:szCs w:val="21"/>
                <w:lang w:val="en-US" w:eastAsia="zh-CN"/>
              </w:rPr>
              <w:t>实验</w:t>
            </w:r>
            <w:r>
              <w:rPr>
                <w:rFonts w:hint="eastAsia"/>
                <w:sz w:val="21"/>
                <w:szCs w:val="21"/>
              </w:rPr>
              <w:t>室</w:t>
            </w:r>
          </w:p>
          <w:p>
            <w:pPr>
              <w:tabs>
                <w:tab w:val="left" w:pos="360"/>
              </w:tabs>
              <w:spacing w:beforeLines="50"/>
              <w:ind w:left="357" w:hanging="357"/>
              <w:rPr>
                <w:rFonts w:ascii="宋体"/>
                <w:b w:val="0"/>
                <w:bCs/>
                <w:color w:val="000000"/>
                <w:sz w:val="20"/>
                <w:szCs w:val="20"/>
              </w:rPr>
            </w:pPr>
            <w:r>
              <w:rPr>
                <w:rFonts w:hint="eastAsia" w:ascii="宋体" w:hAnsi="宋体"/>
                <w:b/>
                <w:color w:val="000000"/>
                <w:sz w:val="20"/>
                <w:szCs w:val="20"/>
              </w:rPr>
              <w:t>环境管理主管部门：</w:t>
            </w:r>
            <w:r>
              <w:rPr>
                <w:rFonts w:hint="eastAsia" w:ascii="宋体" w:hAnsi="宋体"/>
                <w:b w:val="0"/>
                <w:bCs/>
                <w:color w:val="000000"/>
                <w:sz w:val="20"/>
                <w:szCs w:val="20"/>
              </w:rPr>
              <w:t>生产部</w:t>
            </w:r>
          </w:p>
          <w:p>
            <w:pPr>
              <w:tabs>
                <w:tab w:val="left" w:pos="360"/>
              </w:tabs>
              <w:spacing w:beforeLines="50"/>
              <w:ind w:left="357" w:hanging="357"/>
              <w:rPr>
                <w:rFonts w:ascii="宋体"/>
                <w:b w:val="0"/>
                <w:bCs/>
                <w:color w:val="000000"/>
                <w:sz w:val="20"/>
                <w:szCs w:val="20"/>
              </w:rPr>
            </w:pPr>
            <w:r>
              <w:rPr>
                <w:rFonts w:hint="eastAsia" w:ascii="宋体" w:hAnsi="宋体"/>
                <w:b/>
                <w:color w:val="000000"/>
                <w:sz w:val="20"/>
                <w:szCs w:val="20"/>
              </w:rPr>
              <w:t>职业健康安全主管部门：</w:t>
            </w:r>
            <w:r>
              <w:rPr>
                <w:rFonts w:hint="eastAsia" w:ascii="宋体" w:hAnsi="宋体"/>
                <w:b w:val="0"/>
                <w:bCs/>
                <w:color w:val="000000"/>
                <w:sz w:val="20"/>
                <w:szCs w:val="20"/>
              </w:rPr>
              <w:t>生产部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襄阳市襄州区古驿镇外沟村（红林铺小学内）</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b/>
                <w:color w:val="000000"/>
                <w:sz w:val="20"/>
                <w:szCs w:val="20"/>
                <w:lang w:val="de-DE"/>
              </w:rPr>
              <w:t>■</w:t>
            </w:r>
            <w:r>
              <w:rPr>
                <w:rFonts w:hint="eastAsia" w:ascii="宋体" w:hAnsi="宋体"/>
                <w:color w:val="000000"/>
                <w:sz w:val="20"/>
                <w:szCs w:val="20"/>
              </w:rPr>
              <w:t>自建办公用房</w:t>
            </w:r>
            <w:r>
              <w:rPr>
                <w:rFonts w:hint="eastAsia" w:ascii="宋体" w:hAnsi="宋体"/>
                <w:b/>
                <w:color w:val="000000"/>
                <w:sz w:val="20"/>
                <w:szCs w:val="20"/>
                <w:lang w:val="de-DE"/>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b/>
                <w:color w:val="000000"/>
                <w:sz w:val="20"/>
                <w:szCs w:val="20"/>
                <w:lang w:val="de-DE"/>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w:t>
            </w:r>
            <w:r>
              <w:rPr>
                <w:rFonts w:hint="eastAsia" w:ascii="宋体" w:hAnsi="宋体"/>
                <w:color w:val="000000"/>
                <w:sz w:val="20"/>
                <w:szCs w:val="20"/>
                <w:lang w:val="en-US" w:eastAsia="zh-CN"/>
              </w:rPr>
              <w:t>1</w:t>
            </w:r>
            <w:r>
              <w:rPr>
                <w:rFonts w:hint="eastAsia" w:ascii="宋体" w:hAnsi="宋体"/>
                <w:color w:val="000000"/>
                <w:sz w:val="20"/>
                <w:szCs w:val="20"/>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b/>
                <w:color w:val="000000"/>
                <w:sz w:val="20"/>
                <w:szCs w:val="20"/>
                <w:lang w:val="de-DE"/>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6"/>
              <w:keepNext w:val="0"/>
              <w:keepLines w:val="0"/>
              <w:widowControl/>
              <w:suppressLineNumbers w:val="0"/>
              <w:rPr>
                <w:color w:val="auto"/>
                <w:sz w:val="21"/>
                <w:szCs w:val="21"/>
              </w:rPr>
            </w:pPr>
            <w:r>
              <w:rPr>
                <w:rFonts w:hint="eastAsia" w:ascii="宋体" w:hAnsi="宋体"/>
                <w:b/>
                <w:color w:val="000000"/>
                <w:sz w:val="20"/>
                <w:szCs w:val="20"/>
                <w:lang w:val="de-DE"/>
              </w:rPr>
              <w:t>■</w:t>
            </w:r>
            <w:r>
              <w:rPr>
                <w:rFonts w:hint="eastAsia" w:ascii="宋体" w:hAnsi="宋体"/>
                <w:color w:val="000000"/>
                <w:spacing w:val="-10"/>
                <w:sz w:val="20"/>
                <w:szCs w:val="20"/>
              </w:rPr>
              <w:t>产品技术标准号：</w:t>
            </w:r>
            <w:r>
              <w:rPr>
                <w:rFonts w:hint="eastAsia" w:ascii="宋体" w:hAnsi="宋体" w:eastAsia="宋体" w:cs="宋体"/>
                <w:color w:val="auto"/>
                <w:sz w:val="21"/>
                <w:szCs w:val="21"/>
                <w:lang w:eastAsia="zh-CN"/>
              </w:rPr>
              <w:t>干混砂浆（</w:t>
            </w:r>
            <w:r>
              <w:rPr>
                <w:rFonts w:hint="eastAsia" w:ascii="宋体" w:hAnsi="宋体" w:eastAsia="宋体" w:cs="宋体"/>
                <w:color w:val="auto"/>
                <w:sz w:val="21"/>
                <w:szCs w:val="21"/>
                <w:lang w:val="en-US" w:eastAsia="zh-CN"/>
              </w:rPr>
              <w:t>预拌砂浆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GB/T</w:t>
            </w:r>
            <w:r>
              <w:rPr>
                <w:rFonts w:hint="eastAsia" w:ascii="宋体" w:hAnsi="宋体" w:eastAsia="宋体" w:cs="宋体"/>
                <w:color w:val="auto"/>
                <w:sz w:val="21"/>
                <w:szCs w:val="21"/>
                <w:lang w:val="en-US" w:eastAsia="zh-CN"/>
              </w:rPr>
              <w:t>25181</w:t>
            </w:r>
            <w:r>
              <w:rPr>
                <w:rFonts w:hint="eastAsia" w:ascii="宋体" w:hAnsi="宋体" w:eastAsia="宋体" w:cs="宋体"/>
                <w:color w:val="auto"/>
                <w:sz w:val="21"/>
                <w:szCs w:val="21"/>
              </w:rPr>
              <w:t>-201</w:t>
            </w:r>
            <w:r>
              <w:rPr>
                <w:rFonts w:hint="eastAsia" w:ascii="宋体" w:hAnsi="宋体" w:eastAsia="宋体" w:cs="宋体"/>
                <w:color w:val="auto"/>
                <w:sz w:val="21"/>
                <w:szCs w:val="21"/>
                <w:lang w:val="en-US" w:eastAsia="zh-CN"/>
              </w:rPr>
              <w:t>9</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"http://www.standardcnjc.com/index/standard/detail/id/698.html" \t "http://www.standardcnjc.com/index/standard/_blank" </w:instrText>
            </w:r>
            <w:r>
              <w:rPr>
                <w:rFonts w:hint="eastAsia" w:ascii="宋体" w:hAnsi="宋体" w:eastAsia="宋体" w:cs="宋体"/>
                <w:color w:val="auto"/>
                <w:sz w:val="21"/>
                <w:szCs w:val="21"/>
              </w:rPr>
              <w:fldChar w:fldCharType="separate"/>
            </w:r>
            <w:r>
              <w:rPr>
                <w:rStyle w:val="10"/>
                <w:rFonts w:hint="eastAsia" w:ascii="宋体" w:hAnsi="宋体" w:eastAsia="宋体" w:cs="宋体"/>
                <w:color w:val="auto"/>
                <w:sz w:val="21"/>
                <w:szCs w:val="21"/>
              </w:rPr>
              <w:t>干混砂浆生产工艺与应用技术规范</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JC/T 2089-2011</w:t>
            </w:r>
          </w:p>
          <w:p>
            <w:pPr>
              <w:rPr>
                <w:rFonts w:ascii="宋体"/>
                <w:color w:val="000000"/>
                <w:spacing w:val="-10"/>
                <w:sz w:val="20"/>
                <w:szCs w:val="20"/>
              </w:rPr>
            </w:pPr>
            <w:r>
              <w:rPr>
                <w:rFonts w:hint="eastAsia" w:ascii="宋体" w:hAnsi="宋体"/>
                <w:b/>
                <w:color w:val="000000"/>
                <w:sz w:val="20"/>
                <w:szCs w:val="20"/>
                <w:lang w:val="de-DE"/>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环境执行标准：执行标准：污水排入城市下水道水质标准（</w:t>
            </w:r>
            <w:r>
              <w:rPr>
                <w:rFonts w:ascii="宋体"/>
                <w:color w:val="000000"/>
                <w:sz w:val="20"/>
                <w:szCs w:val="20"/>
              </w:rPr>
              <w:t>CJ3082-1999</w:t>
            </w:r>
            <w:r>
              <w:rPr>
                <w:rFonts w:hint="eastAsia" w:ascii="宋体"/>
                <w:color w:val="000000"/>
                <w:sz w:val="20"/>
                <w:szCs w:val="20"/>
              </w:rPr>
              <w:t>）</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lang w:val="en-US" w:eastAsia="zh-CN"/>
              </w:rPr>
              <w:t>湖北</w:t>
            </w:r>
            <w:r>
              <w:rPr>
                <w:rFonts w:hint="eastAsia" w:ascii="宋体"/>
                <w:color w:val="000000"/>
                <w:sz w:val="20"/>
                <w:szCs w:val="20"/>
              </w:rPr>
              <w:t>省实施《中华人民共和国水污染防治法》办法</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rPr>
              <w:t>中华人民共和国固体废弃物污染环境防治法</w:t>
            </w:r>
            <w:r>
              <w:rPr>
                <w:rFonts w:ascii="宋体"/>
                <w:color w:val="000000"/>
                <w:sz w:val="20"/>
                <w:szCs w:val="20"/>
              </w:rPr>
              <w:t xml:space="preserve">    </w:t>
            </w:r>
          </w:p>
          <w:p>
            <w:pPr>
              <w:rPr>
                <w:rFonts w:ascii="宋体"/>
                <w:color w:val="000000"/>
                <w:sz w:val="20"/>
                <w:szCs w:val="20"/>
              </w:rPr>
            </w:pPr>
            <w:r>
              <w:rPr>
                <w:rFonts w:hint="eastAsia" w:ascii="宋体"/>
                <w:color w:val="000000"/>
                <w:sz w:val="20"/>
                <w:szCs w:val="20"/>
                <w:lang w:val="en-US" w:eastAsia="zh-CN"/>
              </w:rPr>
              <w:t>湖北</w:t>
            </w:r>
            <w:r>
              <w:rPr>
                <w:rFonts w:hint="eastAsia" w:ascii="宋体"/>
                <w:color w:val="000000"/>
                <w:sz w:val="20"/>
                <w:szCs w:val="20"/>
              </w:rPr>
              <w:t>省化学危险品安全生产管理办法</w:t>
            </w:r>
          </w:p>
          <w:p>
            <w:pPr>
              <w:rPr>
                <w:rFonts w:ascii="宋体"/>
                <w:color w:val="000000"/>
                <w:sz w:val="20"/>
                <w:szCs w:val="20"/>
              </w:rPr>
            </w:pPr>
            <w:r>
              <w:rPr>
                <w:rFonts w:hint="eastAsia" w:ascii="宋体"/>
                <w:color w:val="000000"/>
                <w:sz w:val="20"/>
                <w:szCs w:val="20"/>
              </w:rPr>
              <w:t>环境污染治理设施运营资质许可管理办法</w:t>
            </w:r>
            <w:r>
              <w:rPr>
                <w:rFonts w:asci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b/>
                <w:color w:val="000000"/>
                <w:sz w:val="20"/>
                <w:szCs w:val="20"/>
                <w:lang w:val="de-DE"/>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执行标准：中华人民共和国工伤保险条例</w:t>
            </w:r>
          </w:p>
          <w:p>
            <w:pPr>
              <w:rPr>
                <w:rFonts w:ascii="宋体"/>
                <w:color w:val="000000"/>
                <w:sz w:val="20"/>
                <w:szCs w:val="20"/>
              </w:rPr>
            </w:pPr>
            <w:r>
              <w:rPr>
                <w:rFonts w:hint="eastAsia" w:ascii="宋体"/>
                <w:color w:val="000000"/>
                <w:sz w:val="20"/>
                <w:szCs w:val="20"/>
              </w:rPr>
              <w:t>电气安全管理规程</w:t>
            </w:r>
          </w:p>
          <w:p>
            <w:pPr>
              <w:rPr>
                <w:rFonts w:ascii="宋体"/>
                <w:color w:val="000000"/>
                <w:sz w:val="20"/>
                <w:szCs w:val="20"/>
              </w:rPr>
            </w:pPr>
            <w:r>
              <w:rPr>
                <w:rFonts w:hint="eastAsia" w:ascii="宋体"/>
                <w:color w:val="000000"/>
                <w:sz w:val="20"/>
                <w:szCs w:val="20"/>
              </w:rPr>
              <w:t>重大事故隐患管理规定</w:t>
            </w:r>
          </w:p>
          <w:p>
            <w:pPr>
              <w:rPr>
                <w:rFonts w:ascii="宋体"/>
                <w:color w:val="000000"/>
                <w:sz w:val="20"/>
                <w:szCs w:val="20"/>
              </w:rPr>
            </w:pPr>
            <w:r>
              <w:rPr>
                <w:rFonts w:hint="eastAsia" w:ascii="宋体"/>
                <w:color w:val="000000"/>
                <w:sz w:val="20"/>
                <w:szCs w:val="20"/>
              </w:rPr>
              <w:t>关于重伤事故范围的意见</w:t>
            </w:r>
          </w:p>
          <w:p>
            <w:pPr>
              <w:rPr>
                <w:rFonts w:ascii="宋体"/>
                <w:color w:val="000000"/>
                <w:sz w:val="20"/>
                <w:szCs w:val="20"/>
              </w:rPr>
            </w:pPr>
            <w:r>
              <w:rPr>
                <w:rFonts w:hint="eastAsia" w:ascii="宋体"/>
                <w:color w:val="000000"/>
                <w:sz w:val="20"/>
                <w:szCs w:val="20"/>
              </w:rPr>
              <w:t>企业职工伤亡事故报告和处理规定</w:t>
            </w:r>
          </w:p>
          <w:p>
            <w:pPr>
              <w:rPr>
                <w:rFonts w:ascii="宋体"/>
                <w:color w:val="000000"/>
                <w:sz w:val="20"/>
                <w:szCs w:val="20"/>
              </w:rPr>
            </w:pPr>
            <w:r>
              <w:rPr>
                <w:rFonts w:hint="eastAsia" w:ascii="宋体"/>
                <w:color w:val="000000"/>
                <w:sz w:val="20"/>
                <w:szCs w:val="20"/>
              </w:rPr>
              <w:t>职业健康监护管理办法</w:t>
            </w:r>
          </w:p>
          <w:p>
            <w:pPr>
              <w:rPr>
                <w:rFonts w:ascii="宋体"/>
                <w:color w:val="000000"/>
                <w:sz w:val="20"/>
                <w:szCs w:val="20"/>
              </w:rPr>
            </w:pPr>
            <w:r>
              <w:rPr>
                <w:rFonts w:hint="eastAsia" w:ascii="宋体"/>
                <w:color w:val="000000"/>
                <w:sz w:val="20"/>
                <w:szCs w:val="20"/>
              </w:rPr>
              <w:t>生产安全事故应急预案管理办法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z w:val="20"/>
                <w:szCs w:val="20"/>
                <w:lang w:val="de-DE"/>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drawing>
                <wp:inline distT="0" distB="0" distL="114300" distR="114300">
                  <wp:extent cx="4370705" cy="1026160"/>
                  <wp:effectExtent l="0" t="0" r="10795"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4370705" cy="102616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关键过程有：配比、</w:t>
            </w:r>
            <w:r>
              <w:rPr>
                <w:rFonts w:hint="eastAsia" w:ascii="宋体" w:hAnsi="宋体"/>
                <w:color w:val="000000"/>
                <w:sz w:val="20"/>
                <w:szCs w:val="20"/>
                <w:lang w:val="en-US" w:eastAsia="zh-CN"/>
              </w:rPr>
              <w:t>混合</w:t>
            </w:r>
            <w:r>
              <w:rPr>
                <w:rFonts w:hint="eastAsia"/>
                <w:szCs w:val="21"/>
              </w:rPr>
              <w:t>（定时控制）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eastAsia="宋体" w:cs="宋体"/>
                <w:color w:val="auto"/>
                <w:sz w:val="21"/>
                <w:szCs w:val="21"/>
                <w:lang w:eastAsia="zh-CN"/>
              </w:rPr>
              <w:t>干混砂浆</w:t>
            </w:r>
            <w:r>
              <w:rPr>
                <w:rFonts w:hint="eastAsia" w:ascii="宋体" w:hAnsi="宋体"/>
                <w:color w:val="000000"/>
                <w:sz w:val="20"/>
                <w:szCs w:val="20"/>
              </w:rPr>
              <w:t>质量技术控制措施》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需要确认过程：配比、</w:t>
            </w:r>
            <w:r>
              <w:rPr>
                <w:rFonts w:hint="eastAsia" w:ascii="宋体" w:hAnsi="宋体"/>
                <w:color w:val="000000"/>
                <w:sz w:val="20"/>
                <w:szCs w:val="20"/>
                <w:lang w:val="en-US" w:eastAsia="zh-CN"/>
              </w:rPr>
              <w:t>混合</w:t>
            </w:r>
            <w:r>
              <w:rPr>
                <w:rFonts w:hint="eastAsia"/>
                <w:szCs w:val="21"/>
              </w:rPr>
              <w:t>（定时控制）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b/>
                <w:color w:val="000000"/>
                <w:sz w:val="20"/>
                <w:szCs w:val="20"/>
                <w:lang w:val="de-DE"/>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Theme="minorEastAsia" w:hAnsiTheme="minorEastAsia" w:eastAsiaTheme="minorEastAsia" w:cstheme="minorEastAsia"/>
                <w:bCs/>
                <w:szCs w:val="21"/>
                <w:lang w:val="en-US" w:eastAsia="zh-CN"/>
              </w:rPr>
              <w:t>斗式提升机、螺旋输送机、脉冲单机除尘器、压式传感器、单轴混合主机、阀口袋包装机、平皮带输送、压缩机</w:t>
            </w:r>
            <w:r>
              <w:rPr>
                <w:rFonts w:hint="eastAsia" w:asciiTheme="minorEastAsia" w:hAnsiTheme="minorEastAsia" w:eastAsiaTheme="minorEastAsia" w:cstheme="minorEastAsia"/>
                <w:bCs/>
                <w:szCs w:val="21"/>
              </w:rPr>
              <w:t>等</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b/>
                <w:color w:val="000000"/>
                <w:sz w:val="20"/>
                <w:szCs w:val="20"/>
                <w:lang w:val="de-DE"/>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auto"/>
                <w:sz w:val="20"/>
                <w:szCs w:val="20"/>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eastAsia="宋体" w:cs="宋体"/>
                <w:bCs/>
                <w:color w:val="auto"/>
                <w:sz w:val="21"/>
                <w:szCs w:val="21"/>
                <w:lang w:val="en-US" w:eastAsia="zh-CN"/>
              </w:rPr>
              <w:t>汽车衡、负压筛析筛、数显鼓风干燥箱、电子天平、生产线计量秤、砂浆强度检测仪、水泥胶砂流动度测定仪、雷氏夹</w:t>
            </w:r>
            <w:r>
              <w:rPr>
                <w:rFonts w:hint="eastAsia" w:ascii="宋体" w:hAnsi="宋体" w:eastAsia="宋体" w:cs="宋体"/>
                <w:bCs/>
                <w:color w:val="auto"/>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b/>
                <w:color w:val="000000"/>
                <w:sz w:val="20"/>
                <w:szCs w:val="20"/>
                <w:lang w:val="de-DE"/>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cs="宋体"/>
                <w:kern w:val="0"/>
                <w:szCs w:val="21"/>
              </w:rPr>
              <w:t>粉尘的排放</w:t>
            </w:r>
            <w:r>
              <w:rPr>
                <w:rFonts w:hint="eastAsia"/>
              </w:rPr>
              <w:t>、</w:t>
            </w:r>
            <w:r>
              <w:rPr>
                <w:rFonts w:hint="eastAsia" w:ascii="宋体" w:hAnsi="宋体" w:cs="宋体"/>
                <w:kern w:val="0"/>
                <w:szCs w:val="21"/>
              </w:rPr>
              <w:t>噪声排放、固体废弃物、火灾。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hAnsi="宋体"/>
                <w:b/>
                <w:color w:val="000000"/>
                <w:sz w:val="20"/>
                <w:szCs w:val="20"/>
                <w:lang w:val="de-DE"/>
              </w:rPr>
              <w:t>■</w:t>
            </w:r>
            <w:r>
              <w:rPr>
                <w:rFonts w:hint="eastAsia" w:ascii="宋体"/>
                <w:color w:val="000000"/>
                <w:sz w:val="20"/>
                <w:szCs w:val="20"/>
              </w:rPr>
              <w:t>是□否，识别是否充分</w:t>
            </w:r>
            <w:r>
              <w:rPr>
                <w:rFonts w:hint="eastAsia" w:ascii="宋体" w:hAnsi="宋体"/>
                <w:b/>
                <w:color w:val="000000"/>
                <w:sz w:val="20"/>
                <w:szCs w:val="20"/>
                <w:lang w:val="de-DE"/>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b/>
                <w:color w:val="000000"/>
                <w:sz w:val="20"/>
                <w:szCs w:val="20"/>
                <w:lang w:val="de-DE"/>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b/>
                <w:color w:val="000000"/>
                <w:sz w:val="20"/>
                <w:szCs w:val="20"/>
                <w:lang w:val="de-DE"/>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应急预案有：《应急准备和响应控制程序》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numPr>
                <w:ilvl w:val="0"/>
                <w:numId w:val="1"/>
              </w:numPr>
              <w:rPr>
                <w:rFonts w:ascii="宋体"/>
                <w:color w:val="000000"/>
                <w:sz w:val="20"/>
                <w:szCs w:val="20"/>
              </w:rPr>
            </w:pPr>
            <w:r>
              <w:rPr>
                <w:rFonts w:hint="eastAsia" w:ascii="宋体"/>
                <w:color w:val="000000"/>
                <w:sz w:val="20"/>
                <w:szCs w:val="20"/>
              </w:rPr>
              <w:t>不可接受风险有：</w:t>
            </w:r>
            <w:r>
              <w:rPr>
                <w:rFonts w:hint="eastAsia"/>
                <w:sz w:val="21"/>
                <w:szCs w:val="21"/>
              </w:rPr>
              <w:t>机械伤害</w:t>
            </w:r>
            <w:r>
              <w:rPr>
                <w:sz w:val="21"/>
                <w:szCs w:val="21"/>
              </w:rPr>
              <w:t xml:space="preserve">    2</w:t>
            </w:r>
            <w:r>
              <w:rPr>
                <w:rFonts w:hint="eastAsia"/>
                <w:sz w:val="21"/>
                <w:szCs w:val="21"/>
              </w:rPr>
              <w:t>、高空坠落</w:t>
            </w:r>
            <w:r>
              <w:rPr>
                <w:bCs/>
                <w:spacing w:val="10"/>
                <w:sz w:val="21"/>
                <w:szCs w:val="21"/>
              </w:rPr>
              <w:t>3</w:t>
            </w:r>
            <w:r>
              <w:rPr>
                <w:rFonts w:hint="eastAsia"/>
                <w:bCs/>
                <w:spacing w:val="10"/>
                <w:sz w:val="21"/>
                <w:szCs w:val="21"/>
              </w:rPr>
              <w:t>．</w:t>
            </w:r>
            <w:r>
              <w:rPr>
                <w:rFonts w:hint="eastAsia" w:ascii="宋体" w:hAnsi="宋体"/>
                <w:sz w:val="21"/>
                <w:szCs w:val="21"/>
              </w:rPr>
              <w:t>职业病</w:t>
            </w:r>
            <w:r>
              <w:rPr>
                <w:rFonts w:hint="eastAsia" w:ascii="宋体" w:hAnsi="宋体"/>
                <w:sz w:val="21"/>
                <w:szCs w:val="21"/>
                <w:lang w:val="en-US" w:eastAsia="zh-CN"/>
              </w:rPr>
              <w:t xml:space="preserve">  4.火灾爆炸  5.触电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hAnsi="宋体"/>
                <w:b/>
                <w:color w:val="000000"/>
                <w:sz w:val="20"/>
                <w:szCs w:val="20"/>
                <w:lang w:val="de-DE"/>
              </w:rPr>
              <w:t>■</w:t>
            </w:r>
            <w:r>
              <w:rPr>
                <w:rFonts w:hint="eastAsia" w:ascii="宋体"/>
                <w:color w:val="000000"/>
                <w:sz w:val="20"/>
                <w:szCs w:val="20"/>
              </w:rPr>
              <w:t>是□否，识别是否充分</w:t>
            </w:r>
            <w:r>
              <w:rPr>
                <w:rFonts w:hint="eastAsia" w:ascii="宋体" w:hAnsi="宋体"/>
                <w:b/>
                <w:color w:val="000000"/>
                <w:sz w:val="20"/>
                <w:szCs w:val="20"/>
                <w:lang w:val="de-DE"/>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b/>
                <w:color w:val="000000"/>
                <w:sz w:val="20"/>
                <w:szCs w:val="20"/>
                <w:lang w:val="de-DE"/>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b/>
                <w:color w:val="000000"/>
                <w:sz w:val="20"/>
                <w:szCs w:val="20"/>
                <w:lang w:val="de-DE"/>
              </w:rPr>
              <w:t>■</w:t>
            </w:r>
            <w:r>
              <w:rPr>
                <w:rFonts w:hint="eastAsia" w:ascii="宋体"/>
                <w:color w:val="000000"/>
                <w:sz w:val="20"/>
                <w:szCs w:val="20"/>
              </w:rPr>
              <w:t>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auto"/>
                <w:sz w:val="20"/>
                <w:szCs w:val="20"/>
                <w:lang w:val="en-US" w:eastAsia="zh-CN"/>
              </w:rPr>
              <w:t>30</w:t>
            </w:r>
            <w:r>
              <w:rPr>
                <w:rFonts w:hint="eastAsia" w:ascii="宋体"/>
                <w:color w:val="auto"/>
                <w:sz w:val="20"/>
                <w:szCs w:val="20"/>
              </w:rPr>
              <w:t>人，其中管理人员：</w:t>
            </w:r>
            <w:r>
              <w:rPr>
                <w:rFonts w:hint="eastAsia" w:ascii="宋体"/>
                <w:color w:val="auto"/>
                <w:sz w:val="20"/>
                <w:szCs w:val="20"/>
                <w:lang w:val="en-US" w:eastAsia="zh-CN"/>
              </w:rPr>
              <w:t>5</w:t>
            </w:r>
            <w:r>
              <w:rPr>
                <w:rFonts w:hint="eastAsia" w:ascii="宋体"/>
                <w:color w:val="auto"/>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sym w:font="Wingdings 2" w:char="00A3"/>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hint="default" w:ascii="宋体" w:eastAsia="宋体"/>
                <w:b/>
                <w:color w:val="000000"/>
                <w:szCs w:val="21"/>
                <w:lang w:val="en-US" w:eastAsia="zh-CN"/>
              </w:rPr>
            </w:pPr>
            <w:r>
              <w:rPr>
                <w:rFonts w:hint="eastAsia" w:ascii="宋体" w:hAnsi="宋体"/>
                <w:b/>
                <w:color w:val="000000"/>
                <w:szCs w:val="21"/>
              </w:rPr>
              <w:sym w:font="Wingdings 2" w:char="00A3"/>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sym w:font="Wingdings 2" w:char="0052"/>
            </w:r>
            <w:r>
              <w:rPr>
                <w:rFonts w:hint="eastAsia" w:ascii="宋体"/>
                <w:b/>
                <w:color w:val="000000"/>
                <w:szCs w:val="21"/>
              </w:rPr>
              <w:t>增加审核人日</w:t>
            </w:r>
          </w:p>
        </w:tc>
      </w:tr>
    </w:tbl>
    <w:p>
      <w:pPr>
        <w:spacing w:beforeLines="50" w:line="360" w:lineRule="exact"/>
        <w:ind w:left="31680"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重点审核部门：生产部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实验室</w:t>
            </w:r>
          </w:p>
          <w:p>
            <w:pPr>
              <w:spacing w:line="360" w:lineRule="auto"/>
              <w:rPr>
                <w:rFonts w:ascii="宋体"/>
                <w:b/>
                <w:color w:val="000000"/>
                <w:sz w:val="20"/>
                <w:szCs w:val="20"/>
              </w:rPr>
            </w:pPr>
            <w:r>
              <w:rPr>
                <w:rFonts w:hint="eastAsia" w:ascii="宋体" w:hAnsi="宋体"/>
                <w:b/>
                <w:color w:val="000000"/>
                <w:sz w:val="20"/>
                <w:szCs w:val="20"/>
              </w:rPr>
              <w:t>重点审核过程：原料称重（计量）、</w:t>
            </w:r>
            <w:r>
              <w:rPr>
                <w:rFonts w:hint="eastAsia" w:ascii="宋体" w:hAnsi="宋体"/>
                <w:b/>
                <w:color w:val="000000"/>
                <w:sz w:val="20"/>
                <w:szCs w:val="20"/>
                <w:lang w:val="en-US" w:eastAsia="zh-CN"/>
              </w:rPr>
              <w:t>混合</w:t>
            </w:r>
            <w:r>
              <w:rPr>
                <w:rFonts w:hint="eastAsia" w:ascii="宋体" w:hAnsi="宋体"/>
                <w:b/>
                <w:color w:val="000000"/>
                <w:sz w:val="20"/>
                <w:szCs w:val="20"/>
              </w:rPr>
              <w:t>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重点审核部门：生产部</w:t>
            </w:r>
          </w:p>
          <w:p>
            <w:pPr>
              <w:spacing w:line="360" w:lineRule="auto"/>
              <w:rPr>
                <w:rFonts w:ascii="宋体"/>
                <w:b/>
                <w:color w:val="000000"/>
                <w:sz w:val="20"/>
                <w:szCs w:val="20"/>
              </w:rPr>
            </w:pPr>
            <w:r>
              <w:rPr>
                <w:rFonts w:hint="eastAsia" w:ascii="宋体" w:hAnsi="宋体"/>
                <w:b/>
                <w:color w:val="000000"/>
                <w:sz w:val="20"/>
                <w:szCs w:val="20"/>
              </w:rPr>
              <w:t>重点审核场所：生产部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重点审核部门：生产部</w:t>
            </w:r>
          </w:p>
          <w:p>
            <w:pPr>
              <w:spacing w:line="360" w:lineRule="auto"/>
              <w:rPr>
                <w:rFonts w:ascii="宋体"/>
                <w:b/>
                <w:color w:val="000000"/>
                <w:sz w:val="20"/>
                <w:szCs w:val="20"/>
              </w:rPr>
            </w:pPr>
            <w:r>
              <w:rPr>
                <w:rFonts w:hint="eastAsia" w:ascii="宋体" w:hAnsi="宋体"/>
                <w:b/>
                <w:color w:val="000000"/>
                <w:sz w:val="20"/>
                <w:szCs w:val="20"/>
              </w:rPr>
              <w:t>重点审核场所：生产部</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公司于</w:t>
            </w:r>
            <w:r>
              <w:rPr>
                <w:szCs w:val="21"/>
              </w:rPr>
              <w:t>20</w:t>
            </w:r>
            <w:r>
              <w:rPr>
                <w:rFonts w:hint="eastAsia"/>
                <w:szCs w:val="21"/>
                <w:lang w:val="en-US" w:eastAsia="zh-CN"/>
              </w:rPr>
              <w:t>21</w:t>
            </w:r>
            <w:r>
              <w:rPr>
                <w:szCs w:val="21"/>
              </w:rPr>
              <w:t>.</w:t>
            </w:r>
            <w:r>
              <w:rPr>
                <w:rFonts w:hint="eastAsia"/>
                <w:szCs w:val="21"/>
                <w:lang w:val="en-US" w:eastAsia="zh-CN"/>
              </w:rPr>
              <w:t>1</w:t>
            </w:r>
            <w:r>
              <w:rPr>
                <w:szCs w:val="21"/>
              </w:rPr>
              <w:t>.</w:t>
            </w:r>
            <w:r>
              <w:rPr>
                <w:rFonts w:hint="eastAsia"/>
                <w:szCs w:val="21"/>
                <w:lang w:val="en-US" w:eastAsia="zh-CN"/>
              </w:rPr>
              <w:t>7</w:t>
            </w:r>
            <w:r>
              <w:rPr>
                <w:szCs w:val="21"/>
              </w:rPr>
              <w:t>-</w:t>
            </w:r>
            <w:r>
              <w:rPr>
                <w:rFonts w:hint="eastAsia"/>
                <w:szCs w:val="21"/>
                <w:lang w:val="en-US" w:eastAsia="zh-CN"/>
              </w:rPr>
              <w:t>8</w:t>
            </w:r>
            <w:r>
              <w:rPr>
                <w:rFonts w:hint="eastAsia"/>
                <w:szCs w:val="21"/>
              </w:rPr>
              <w:t>进行一次内审，提供了内审计划、内审记录、不符合报告、内审报告等，发现了</w:t>
            </w:r>
            <w:r>
              <w:rPr>
                <w:rFonts w:hint="eastAsia"/>
                <w:szCs w:val="21"/>
                <w:lang w:val="en-US" w:eastAsia="zh-CN"/>
              </w:rPr>
              <w:t>6</w:t>
            </w:r>
            <w:r>
              <w:rPr>
                <w:rFonts w:hint="eastAsia"/>
                <w:szCs w:val="21"/>
              </w:rPr>
              <w:t>项不符合项，具体内容见审核记录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bCs/>
                <w:szCs w:val="21"/>
              </w:rPr>
              <w:t>本次内审在各部门的支持和配合下，内审组能够较系统地对公司进行检查，认为公司三体系运行基本良好，运行达到一定的效果，基本符合</w:t>
            </w:r>
            <w:r>
              <w:rPr>
                <w:rFonts w:ascii="宋体" w:hAnsi="宋体"/>
                <w:szCs w:val="21"/>
              </w:rPr>
              <w:t>ISO9001:2015</w:t>
            </w:r>
            <w:r>
              <w:rPr>
                <w:rFonts w:hint="eastAsia" w:ascii="宋体" w:hAnsi="宋体"/>
                <w:szCs w:val="21"/>
              </w:rPr>
              <w:t>；</w:t>
            </w:r>
            <w:r>
              <w:rPr>
                <w:rFonts w:ascii="宋体" w:hAnsi="宋体"/>
                <w:szCs w:val="21"/>
              </w:rPr>
              <w:t>ISO14001:2015</w:t>
            </w:r>
            <w:r>
              <w:rPr>
                <w:rFonts w:hint="eastAsia" w:ascii="宋体" w:hAnsi="宋体"/>
                <w:szCs w:val="21"/>
              </w:rPr>
              <w:t>；</w:t>
            </w:r>
            <w:r>
              <w:rPr>
                <w:rFonts w:ascii="宋体" w:hAnsi="宋体"/>
                <w:szCs w:val="21"/>
              </w:rPr>
              <w:t>ISO45001:2018</w:t>
            </w:r>
            <w:r>
              <w:rPr>
                <w:rFonts w:hint="eastAsia" w:ascii="宋体" w:hAnsi="宋体"/>
                <w:szCs w:val="21"/>
              </w:rPr>
              <w:t>标准的要求，</w:t>
            </w:r>
            <w:r>
              <w:rPr>
                <w:rFonts w:hint="eastAsia" w:ascii="宋体" w:hAnsi="宋体"/>
                <w:bCs/>
                <w:szCs w:val="21"/>
              </w:rPr>
              <w:t>但仍存在不足，各部门应举一反三，对类似问题予以整改。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szCs w:val="21"/>
              </w:rPr>
              <w:t>20</w:t>
            </w:r>
            <w:r>
              <w:rPr>
                <w:rFonts w:hint="eastAsia"/>
                <w:szCs w:val="21"/>
                <w:lang w:val="en-US" w:eastAsia="zh-CN"/>
              </w:rPr>
              <w:t>21</w:t>
            </w:r>
            <w:r>
              <w:rPr>
                <w:szCs w:val="21"/>
              </w:rPr>
              <w:t>.</w:t>
            </w:r>
            <w:r>
              <w:rPr>
                <w:rFonts w:hint="eastAsia"/>
                <w:szCs w:val="21"/>
                <w:lang w:val="en-US" w:eastAsia="zh-CN"/>
              </w:rPr>
              <w:t>1</w:t>
            </w:r>
            <w:r>
              <w:rPr>
                <w:szCs w:val="21"/>
              </w:rPr>
              <w:t>.</w:t>
            </w:r>
            <w:r>
              <w:rPr>
                <w:rFonts w:hint="eastAsia"/>
                <w:szCs w:val="21"/>
                <w:lang w:val="en-US" w:eastAsia="zh-CN"/>
              </w:rPr>
              <w:t>28</w:t>
            </w:r>
            <w:r>
              <w:rPr>
                <w:rFonts w:hint="eastAsia"/>
                <w:szCs w:val="21"/>
              </w:rPr>
              <w:t>召开了管理评审会议，由总经理主持。提供管理评审报告。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400" w:lineRule="exact"/>
              <w:rPr>
                <w:szCs w:val="21"/>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b/>
                <w:color w:val="000000"/>
                <w:sz w:val="20"/>
                <w:szCs w:val="20"/>
                <w:lang w:val="de-DE"/>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1680"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lang w:val="de-DE"/>
              </w:rPr>
              <w:t>■</w:t>
            </w:r>
            <w:r>
              <w:rPr>
                <w:rFonts w:ascii="宋体" w:hAnsi="宋体"/>
                <w:b/>
                <w:color w:val="000000"/>
                <w:sz w:val="20"/>
                <w:szCs w:val="20"/>
              </w:rPr>
              <w:t>QMS /</w:t>
            </w:r>
            <w:r>
              <w:rPr>
                <w:rFonts w:hint="eastAsia" w:ascii="宋体" w:hAnsi="宋体"/>
                <w:b/>
                <w:color w:val="000000"/>
                <w:sz w:val="20"/>
                <w:szCs w:val="20"/>
                <w:lang w:val="de-DE"/>
              </w:rPr>
              <w:t>■</w:t>
            </w:r>
            <w:r>
              <w:rPr>
                <w:rFonts w:ascii="宋体" w:hAnsi="宋体"/>
                <w:b/>
                <w:color w:val="000000"/>
                <w:sz w:val="20"/>
                <w:szCs w:val="20"/>
              </w:rPr>
              <w:t>EMS/</w:t>
            </w:r>
            <w:r>
              <w:rPr>
                <w:rFonts w:hint="eastAsia" w:ascii="宋体" w:hAnsi="宋体"/>
                <w:b/>
                <w:color w:val="00000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lang w:val="de-DE"/>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val="de-DE"/>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w:t>
      </w:r>
      <w:r>
        <w:rPr>
          <w:rFonts w:ascii="宋体" w:hAnsi="宋体"/>
          <w:b/>
          <w:color w:val="000000"/>
          <w:sz w:val="20"/>
          <w:szCs w:val="20"/>
          <w:u w:val="single"/>
        </w:rPr>
        <w:t>_</w:t>
      </w:r>
      <w:r>
        <w:rPr>
          <w:rFonts w:hint="eastAsia" w:ascii="宋体" w:hAnsi="宋体"/>
          <w:szCs w:val="21"/>
          <w:u w:val="single"/>
        </w:rPr>
        <w:t>干混砂浆的生产及销售</w:t>
      </w:r>
    </w:p>
    <w:p>
      <w:pPr>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rPr>
          <w:rFonts w:hint="eastAsia" w:ascii="宋体" w:hAnsi="宋体"/>
          <w:szCs w:val="21"/>
          <w:u w:val="single"/>
        </w:rPr>
        <w:t>干混砂浆的生产及销售所涉及场所的相关环境管理活动</w:t>
      </w:r>
    </w:p>
    <w:p>
      <w:pPr>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u w:val="single"/>
        </w:rPr>
        <w:t>干混砂浆的生产及销售所涉及场所的相关职业健康安全管理活动</w:t>
      </w:r>
      <w:r>
        <w:rPr>
          <w:rFonts w:hint="eastAsia" w:ascii="宋体" w:hAnsi="宋体"/>
          <w:szCs w:val="21"/>
        </w:rPr>
        <w:t xml:space="preserve"> </w:t>
      </w:r>
    </w:p>
    <w:p>
      <w:pPr>
        <w:spacing w:beforeLines="50" w:afterLines="20" w:line="360" w:lineRule="exact"/>
        <w:ind w:firstLine="220" w:firstLineChars="100"/>
        <w:rPr>
          <w:rFonts w:ascii="宋体"/>
          <w:b/>
          <w:bCs/>
          <w:color w:val="000000"/>
          <w:sz w:val="26"/>
          <w:szCs w:val="26"/>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1805305</wp:posOffset>
            </wp:positionH>
            <wp:positionV relativeFrom="paragraph">
              <wp:posOffset>256540</wp:posOffset>
            </wp:positionV>
            <wp:extent cx="847090" cy="713740"/>
            <wp:effectExtent l="0" t="0" r="3810" b="10160"/>
            <wp:wrapNone/>
            <wp:docPr id="4" name="图片 4"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伍光华"/>
                    <pic:cNvPicPr>
                      <a:picLocks noChangeAspect="1"/>
                    </pic:cNvPicPr>
                  </pic:nvPicPr>
                  <pic:blipFill>
                    <a:blip r:embed="rId7"/>
                    <a:stretch>
                      <a:fillRect/>
                    </a:stretch>
                  </pic:blipFill>
                  <pic:spPr>
                    <a:xfrm>
                      <a:off x="0" y="0"/>
                      <a:ext cx="847090" cy="71374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2705735</wp:posOffset>
            </wp:positionH>
            <wp:positionV relativeFrom="paragraph">
              <wp:posOffset>173355</wp:posOffset>
            </wp:positionV>
            <wp:extent cx="885190" cy="530860"/>
            <wp:effectExtent l="0" t="0" r="0" b="2540"/>
            <wp:wrapNone/>
            <wp:docPr id="6" name="图片 6" descr="89c3c2a6aefd743fa5071e4e0e35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9c3c2a6aefd743fa5071e4e0e35302"/>
                    <pic:cNvPicPr>
                      <a:picLocks noChangeAspect="1"/>
                    </pic:cNvPicPr>
                  </pic:nvPicPr>
                  <pic:blipFill>
                    <a:blip r:embed="rId8"/>
                    <a:stretch>
                      <a:fillRect/>
                    </a:stretch>
                  </pic:blipFill>
                  <pic:spPr>
                    <a:xfrm>
                      <a:off x="0" y="0"/>
                      <a:ext cx="885190" cy="53086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1797685</wp:posOffset>
            </wp:positionH>
            <wp:positionV relativeFrom="paragraph">
              <wp:posOffset>217805</wp:posOffset>
            </wp:positionV>
            <wp:extent cx="754380" cy="403225"/>
            <wp:effectExtent l="0" t="0" r="7620" b="3175"/>
            <wp:wrapNone/>
            <wp:docPr id="5" name="图片 5" descr="a1fe9196852b75b378b13d4ebd427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1fe9196852b75b378b13d4ebd427a2"/>
                    <pic:cNvPicPr>
                      <a:picLocks noChangeAspect="1"/>
                    </pic:cNvPicPr>
                  </pic:nvPicPr>
                  <pic:blipFill>
                    <a:blip r:embed="rId9"/>
                    <a:stretch>
                      <a:fillRect/>
                    </a:stretch>
                  </pic:blipFill>
                  <pic:spPr>
                    <a:xfrm>
                      <a:off x="0" y="0"/>
                      <a:ext cx="754380" cy="40322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2021年5月28日</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ascii="宋体" w:hAnsi="宋体" w:eastAsia="宋体" w:cs="宋体"/>
          <w:sz w:val="21"/>
          <w:szCs w:val="21"/>
        </w:rPr>
        <w:t>襄阳坤隆建材科技有限公司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kern w:val="2"/>
                <w:sz w:val="24"/>
                <w:szCs w:val="24"/>
                <w:lang w:val="en-US" w:eastAsia="zh-CN"/>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kern w:val="2"/>
                <w:sz w:val="24"/>
                <w:szCs w:val="24"/>
                <w:lang w:eastAsia="zh-CN"/>
              </w:rPr>
            </w:pPr>
            <w:r>
              <w:rPr>
                <w:rFonts w:hint="eastAsia" w:ascii="宋体" w:hAnsi="宋体"/>
                <w:sz w:val="21"/>
                <w:szCs w:val="18"/>
                <w:lang w:val="en-US" w:eastAsia="zh-CN"/>
              </w:rPr>
              <w:t>无</w:t>
            </w: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kern w:val="2"/>
                <w:sz w:val="24"/>
                <w:szCs w:val="24"/>
              </w:rPr>
            </w:pPr>
          </w:p>
        </w:tc>
        <w:tc>
          <w:tcPr>
            <w:tcW w:w="5681" w:type="dxa"/>
            <w:vAlign w:val="center"/>
          </w:tcPr>
          <w:p>
            <w:pPr>
              <w:pStyle w:val="4"/>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kern w:val="2"/>
                <w:sz w:val="24"/>
                <w:szCs w:val="24"/>
              </w:rPr>
            </w:pPr>
          </w:p>
        </w:tc>
        <w:tc>
          <w:tcPr>
            <w:tcW w:w="5681" w:type="dxa"/>
            <w:vAlign w:val="center"/>
          </w:tcPr>
          <w:p>
            <w:pPr>
              <w:pStyle w:val="4"/>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kern w:val="2"/>
                <w:sz w:val="24"/>
                <w:szCs w:val="24"/>
              </w:rPr>
            </w:pPr>
          </w:p>
        </w:tc>
        <w:tc>
          <w:tcPr>
            <w:tcW w:w="5681" w:type="dxa"/>
            <w:vAlign w:val="center"/>
          </w:tcPr>
          <w:p>
            <w:pPr>
              <w:pStyle w:val="4"/>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kern w:val="2"/>
                <w:sz w:val="24"/>
                <w:szCs w:val="24"/>
              </w:rPr>
            </w:pPr>
          </w:p>
        </w:tc>
        <w:tc>
          <w:tcPr>
            <w:tcW w:w="5681" w:type="dxa"/>
            <w:vAlign w:val="center"/>
          </w:tcPr>
          <w:p>
            <w:pPr>
              <w:pStyle w:val="4"/>
              <w:pBdr>
                <w:bottom w:val="none" w:color="auto" w:sz="0" w:space="0"/>
              </w:pBdr>
              <w:tabs>
                <w:tab w:val="center" w:pos="5737"/>
                <w:tab w:val="clear" w:pos="4153"/>
              </w:tabs>
              <w:jc w:val="both"/>
              <w:rPr>
                <w:color w:val="000000"/>
                <w:kern w:val="2"/>
                <w:sz w:val="24"/>
                <w:szCs w:val="24"/>
              </w:rPr>
            </w:pPr>
          </w:p>
        </w:tc>
        <w:tc>
          <w:tcPr>
            <w:tcW w:w="1688" w:type="dxa"/>
            <w:vAlign w:val="center"/>
          </w:tcPr>
          <w:p>
            <w:pPr>
              <w:pStyle w:val="4"/>
              <w:pBdr>
                <w:bottom w:val="none" w:color="auto" w:sz="0" w:space="0"/>
              </w:pBdr>
              <w:ind w:right="600"/>
              <w:jc w:val="both"/>
              <w:rPr>
                <w:color w:val="000000"/>
                <w:kern w:val="2"/>
                <w:sz w:val="32"/>
                <w:szCs w:val="32"/>
              </w:rPr>
            </w:pPr>
          </w:p>
        </w:tc>
        <w:tc>
          <w:tcPr>
            <w:tcW w:w="1811" w:type="dxa"/>
            <w:vAlign w:val="center"/>
          </w:tcPr>
          <w:p>
            <w:pPr>
              <w:pStyle w:val="4"/>
              <w:pBdr>
                <w:bottom w:val="none" w:color="auto" w:sz="0" w:space="0"/>
              </w:pBdr>
              <w:ind w:right="600"/>
              <w:jc w:val="both"/>
              <w:rPr>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伍光华</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5</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28</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2021</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5</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28</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bookmarkEnd w:id="24"/>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3075" o:spid="_x0000_s3075"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235A9"/>
    <w:multiLevelType w:val="singleLevel"/>
    <w:tmpl w:val="335235A9"/>
    <w:lvl w:ilvl="0" w:tentative="0">
      <w:start w:val="1"/>
      <w:numFmt w:val="decimal"/>
      <w:lvlText w:val="%1."/>
      <w:lvlJc w:val="left"/>
      <w:pPr>
        <w:tabs>
          <w:tab w:val="left" w:pos="312"/>
        </w:tabs>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70537B"/>
    <w:rsid w:val="7D3A1B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qFormat/>
    <w:uiPriority w:val="0"/>
    <w:pPr>
      <w:spacing w:before="0" w:beforeAutospacing="0" w:after="0" w:afterAutospacing="0"/>
      <w:ind w:left="0" w:right="0"/>
      <w:jc w:val="left"/>
    </w:pPr>
    <w:rPr>
      <w:kern w:val="0"/>
      <w:sz w:val="24"/>
      <w:lang w:val="en-US" w:eastAsia="zh-CN" w:bidi="ar"/>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576B95"/>
      <w:u w:val="none"/>
    </w:rPr>
  </w:style>
  <w:style w:type="character" w:customStyle="1" w:styleId="11">
    <w:name w:val="批注框文本 字符"/>
    <w:link w:val="2"/>
    <w:semiHidden/>
    <w:qFormat/>
    <w:locked/>
    <w:uiPriority w:val="99"/>
    <w:rPr>
      <w:rFonts w:ascii="Times New Roman" w:hAnsi="Times New Roman" w:eastAsia="宋体" w:cs="Times New Roman"/>
      <w:sz w:val="18"/>
      <w:szCs w:val="18"/>
    </w:rPr>
  </w:style>
  <w:style w:type="character" w:customStyle="1" w:styleId="12">
    <w:name w:val="页脚 字符"/>
    <w:link w:val="3"/>
    <w:qFormat/>
    <w:locked/>
    <w:uiPriority w:val="99"/>
    <w:rPr>
      <w:rFonts w:ascii="Times New Roman" w:hAnsi="Times New Roman" w:eastAsia="宋体" w:cs="Times New Roman"/>
      <w:sz w:val="18"/>
      <w:szCs w:val="18"/>
    </w:rPr>
  </w:style>
  <w:style w:type="character" w:customStyle="1" w:styleId="13">
    <w:name w:val="页眉 字符"/>
    <w:link w:val="4"/>
    <w:qFormat/>
    <w:locked/>
    <w:uiPriority w:val="99"/>
    <w:rPr>
      <w:rFonts w:ascii="Calibri" w:hAnsi="Calibri" w:eastAsia="宋体" w:cs="Times New Roman"/>
      <w:sz w:val="18"/>
      <w:szCs w:val="18"/>
    </w:rPr>
  </w:style>
  <w:style w:type="character" w:customStyle="1" w:styleId="14">
    <w:name w:val="副标题 字符"/>
    <w:link w:val="5"/>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2021-06-02T06:38:44Z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2E34820CE18E4678A24CD77D09C2803D</vt:lpwstr>
  </property>
</Properties>
</file>