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综合</w:t>
            </w:r>
            <w:r>
              <w:rPr>
                <w:rFonts w:hint="eastAsia"/>
                <w:sz w:val="24"/>
                <w:szCs w:val="24"/>
              </w:rPr>
              <w:t>部、</w:t>
            </w:r>
            <w:r>
              <w:rPr>
                <w:rFonts w:hint="eastAsia"/>
                <w:sz w:val="24"/>
                <w:szCs w:val="24"/>
                <w:lang w:val="en-US" w:eastAsia="zh-CN"/>
              </w:rPr>
              <w:t>采购</w:t>
            </w:r>
            <w:r>
              <w:rPr>
                <w:rFonts w:hint="eastAsia"/>
                <w:sz w:val="24"/>
                <w:szCs w:val="24"/>
              </w:rPr>
              <w:t>部、生产部、</w:t>
            </w:r>
            <w:r>
              <w:rPr>
                <w:rFonts w:hint="eastAsia"/>
                <w:sz w:val="24"/>
                <w:szCs w:val="24"/>
                <w:lang w:val="en-US" w:eastAsia="zh-CN"/>
              </w:rPr>
              <w:t>实验</w:t>
            </w:r>
            <w:r>
              <w:rPr>
                <w:rFonts w:hint="eastAsia"/>
                <w:sz w:val="24"/>
                <w:szCs w:val="24"/>
              </w:rPr>
              <w:t>室、</w:t>
            </w:r>
            <w:r>
              <w:rPr>
                <w:rFonts w:hint="eastAsia"/>
                <w:sz w:val="24"/>
                <w:szCs w:val="24"/>
                <w:lang w:val="en-US" w:eastAsia="zh-CN"/>
              </w:rPr>
              <w:t>销售</w:t>
            </w:r>
            <w:r>
              <w:rPr>
                <w:rFonts w:hint="eastAsia"/>
                <w:sz w:val="24"/>
                <w:szCs w:val="24"/>
              </w:rPr>
              <w:t>部</w:t>
            </w:r>
            <w:r>
              <w:rPr>
                <w:rFonts w:hint="eastAsia"/>
                <w:sz w:val="24"/>
                <w:szCs w:val="24"/>
                <w:lang w:eastAsia="zh-CN"/>
              </w:rPr>
              <w:t>、</w:t>
            </w:r>
            <w:r>
              <w:rPr>
                <w:rFonts w:hint="eastAsia"/>
                <w:sz w:val="24"/>
                <w:szCs w:val="24"/>
                <w:lang w:val="en-US" w:eastAsia="zh-CN"/>
              </w:rPr>
              <w:t>财务部</w:t>
            </w:r>
            <w:r>
              <w:rPr>
                <w:rFonts w:hint="eastAsia"/>
                <w:sz w:val="24"/>
                <w:szCs w:val="24"/>
              </w:rPr>
              <w:t>，陪同：</w:t>
            </w:r>
            <w:r>
              <w:rPr>
                <w:rFonts w:hint="eastAsia"/>
                <w:sz w:val="24"/>
                <w:szCs w:val="24"/>
                <w:lang w:val="en-US" w:eastAsia="zh-CN"/>
              </w:rPr>
              <w:t>杨起言</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spacing w:before="120"/>
            </w:pPr>
            <w:r>
              <w:rPr>
                <w:rFonts w:hint="eastAsia"/>
                <w:sz w:val="24"/>
                <w:szCs w:val="24"/>
              </w:rPr>
              <w:t>审核员：伍光华、</w:t>
            </w:r>
            <w:r>
              <w:rPr>
                <w:rFonts w:hint="eastAsia"/>
                <w:sz w:val="24"/>
                <w:szCs w:val="24"/>
                <w:lang w:val="en-US" w:eastAsia="zh-CN"/>
              </w:rPr>
              <w:t>李凤仪、邱锋</w:t>
            </w:r>
            <w:r>
              <w:rPr>
                <w:sz w:val="24"/>
                <w:szCs w:val="24"/>
              </w:rPr>
              <w:t xml:space="preserve">       </w:t>
            </w:r>
            <w:r>
              <w:rPr>
                <w:rFonts w:hint="eastAsia"/>
                <w:sz w:val="24"/>
                <w:szCs w:val="24"/>
              </w:rPr>
              <w:t>审核时间：</w:t>
            </w:r>
            <w:r>
              <w:rPr>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28</w:t>
            </w:r>
            <w:r>
              <w:rPr>
                <w:rFonts w:hint="eastAsia"/>
                <w:sz w:val="24"/>
                <w:szCs w:val="24"/>
              </w:rPr>
              <w:t>日</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rPr>
                <w:sz w:val="24"/>
                <w:szCs w:val="24"/>
              </w:rPr>
            </w:pPr>
            <w:r>
              <w:rPr>
                <w:rFonts w:hint="eastAsia"/>
                <w:sz w:val="24"/>
                <w:szCs w:val="24"/>
              </w:rPr>
              <w:t>审核条款：</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szCs w:val="21"/>
              </w:rPr>
            </w:pPr>
            <w:r>
              <w:rPr>
                <w:rFonts w:hint="eastAsia"/>
                <w:szCs w:val="21"/>
              </w:rPr>
              <w:t>组织机构（如部门设置和负责人，服务过程）</w:t>
            </w:r>
          </w:p>
          <w:p>
            <w:pPr>
              <w:spacing w:line="400" w:lineRule="exact"/>
              <w:rPr>
                <w:szCs w:val="21"/>
              </w:rPr>
            </w:pPr>
            <w:r>
              <w:rPr>
                <w:rFonts w:hint="eastAsia"/>
              </w:rPr>
              <w:t>认证范围产品用途、顾客群等</w:t>
            </w: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w:t>
            </w:r>
            <w:r>
              <w:rPr>
                <w:szCs w:val="21"/>
              </w:rPr>
              <w:t>EMS</w:t>
            </w:r>
            <w:r>
              <w:rPr>
                <w:rFonts w:hint="eastAsia"/>
                <w:szCs w:val="21"/>
              </w:rPr>
              <w:t>）顾客及相关方投诉</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r>
              <w:rPr>
                <w:rFonts w:hint="eastAsia"/>
                <w:szCs w:val="21"/>
              </w:rPr>
              <w:t>方针、目标、指标和方案情况</w:t>
            </w:r>
          </w:p>
          <w:p/>
          <w:p/>
          <w:p/>
          <w:p/>
          <w:p/>
          <w:p/>
          <w:p/>
          <w:p/>
          <w:p/>
          <w:p/>
          <w:p/>
          <w:p>
            <w:pPr>
              <w:pStyle w:val="13"/>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合规性评价报告</w:t>
            </w:r>
            <w:r>
              <w:rPr>
                <w:szCs w:val="21"/>
              </w:rPr>
              <w:t xml:space="preserve"> </w:t>
            </w:r>
          </w:p>
          <w:p>
            <w:pPr>
              <w:spacing w:line="400" w:lineRule="exact"/>
              <w:rPr>
                <w:szCs w:val="21"/>
              </w:rPr>
            </w:pPr>
          </w:p>
          <w:p>
            <w:pPr>
              <w:spacing w:line="400" w:lineRule="exact"/>
              <w:rPr>
                <w:szCs w:val="21"/>
              </w:rPr>
            </w:pPr>
            <w:r>
              <w:rPr>
                <w:rFonts w:hint="eastAsia"/>
                <w:szCs w:val="21"/>
              </w:rPr>
              <w:t>重要环境因素（</w:t>
            </w:r>
            <w:r>
              <w:rPr>
                <w:szCs w:val="21"/>
              </w:rPr>
              <w:t>EMS</w:t>
            </w:r>
            <w:r>
              <w:rPr>
                <w:rFonts w:hint="eastAsia"/>
                <w:szCs w:val="21"/>
              </w:rPr>
              <w:t>）</w:t>
            </w:r>
          </w:p>
          <w:p>
            <w:pPr>
              <w:spacing w:line="400" w:lineRule="exact"/>
              <w:rPr>
                <w:szCs w:val="21"/>
              </w:rPr>
            </w:pPr>
            <w:r>
              <w:rPr>
                <w:rFonts w:hint="eastAsia"/>
                <w:szCs w:val="21"/>
              </w:rPr>
              <w:t>不可接受危险源</w:t>
            </w:r>
          </w:p>
          <w:p>
            <w:pPr>
              <w:spacing w:line="400" w:lineRule="exact"/>
              <w:rPr>
                <w:szCs w:val="21"/>
              </w:rPr>
            </w:pPr>
          </w:p>
          <w:p>
            <w:pPr>
              <w:spacing w:line="400" w:lineRule="exact"/>
              <w:rPr>
                <w:szCs w:val="21"/>
              </w:rPr>
            </w:pPr>
          </w:p>
          <w:p>
            <w:pPr>
              <w:pStyle w:val="13"/>
              <w:rPr>
                <w:szCs w:val="21"/>
              </w:rPr>
            </w:pPr>
          </w:p>
          <w:p>
            <w:pPr>
              <w:pStyle w:val="13"/>
              <w:rPr>
                <w:szCs w:val="21"/>
              </w:rPr>
            </w:pPr>
          </w:p>
          <w:p>
            <w:pPr>
              <w:spacing w:line="400" w:lineRule="exact"/>
              <w:rPr>
                <w:szCs w:val="21"/>
              </w:rPr>
            </w:pPr>
            <w:r>
              <w:rPr>
                <w:rFonts w:hint="eastAsia"/>
                <w:szCs w:val="21"/>
              </w:rPr>
              <w:t>内审情况</w:t>
            </w:r>
          </w:p>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p>
          <w:p>
            <w:pPr>
              <w:spacing w:line="400" w:lineRule="exact"/>
              <w:rPr>
                <w:szCs w:val="21"/>
              </w:rPr>
            </w:pPr>
            <w:r>
              <w:rPr>
                <w:rFonts w:hint="eastAsia"/>
                <w:szCs w:val="21"/>
              </w:rPr>
              <w:t>特种设备</w:t>
            </w:r>
          </w:p>
          <w:p>
            <w:pPr>
              <w:spacing w:line="400" w:lineRule="exact"/>
              <w:rPr>
                <w:szCs w:val="21"/>
              </w:rPr>
            </w:pPr>
            <w:r>
              <w:rPr>
                <w:rFonts w:hint="eastAsia"/>
                <w:szCs w:val="21"/>
              </w:rPr>
              <w:t>环保、安全设施（</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环保</w:t>
            </w:r>
            <w:r>
              <w:rPr>
                <w:szCs w:val="21"/>
              </w:rPr>
              <w:t>\</w:t>
            </w:r>
            <w:r>
              <w:rPr>
                <w:rFonts w:hint="eastAsia"/>
                <w:szCs w:val="21"/>
              </w:rPr>
              <w:t>安全监测设备（</w:t>
            </w:r>
            <w:r>
              <w:rPr>
                <w:szCs w:val="21"/>
              </w:rPr>
              <w:t>EMS</w:t>
            </w:r>
            <w:r>
              <w:rPr>
                <w:rFonts w:hint="eastAsia"/>
                <w:szCs w:val="21"/>
              </w:rPr>
              <w:t>、</w:t>
            </w:r>
            <w:r>
              <w:rPr>
                <w:szCs w:val="21"/>
              </w:rPr>
              <w:t>OHS</w:t>
            </w:r>
            <w:r>
              <w:rPr>
                <w:rFonts w:hint="eastAsia"/>
                <w:szCs w:val="21"/>
              </w:rPr>
              <w:t>）</w:t>
            </w:r>
          </w:p>
          <w:p/>
          <w:p>
            <w:pPr>
              <w:spacing w:line="400" w:lineRule="exact"/>
              <w:rPr>
                <w:szCs w:val="21"/>
              </w:rPr>
            </w:pPr>
            <w:r>
              <w:rPr>
                <w:rFonts w:hint="eastAsia"/>
                <w:szCs w:val="21"/>
              </w:rPr>
              <w:t>现场</w:t>
            </w:r>
          </w:p>
          <w:p/>
        </w:tc>
        <w:tc>
          <w:tcPr>
            <w:tcW w:w="960" w:type="dxa"/>
          </w:tcPr>
          <w:p/>
        </w:tc>
        <w:tc>
          <w:tcPr>
            <w:tcW w:w="10596"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襄阳坤隆建材科技有限公司成立于2010年7月，注册资本1000万元，是湖北省建筑节能协会会员单位，</w:t>
            </w:r>
            <w:r>
              <w:rPr>
                <w:rFonts w:hint="eastAsia" w:ascii="宋体" w:hAnsi="宋体" w:eastAsia="宋体" w:cs="宋体"/>
                <w:sz w:val="21"/>
                <w:szCs w:val="21"/>
                <w:lang w:eastAsia="zh-CN"/>
              </w:rPr>
              <w:t>襄阳</w:t>
            </w:r>
            <w:r>
              <w:rPr>
                <w:rFonts w:hint="eastAsia" w:ascii="宋体" w:hAnsi="宋体" w:eastAsia="宋体" w:cs="宋体"/>
                <w:sz w:val="21"/>
                <w:szCs w:val="21"/>
              </w:rPr>
              <w:t>市建筑节能协会的副会长单位。公司成立以来，连续三年被评为襄阳市新型墙体材料与建筑节能企业先进单位∶"外墙保温系统"被湖北省住房和城乡建设厅列为湖北省2013年建设科技成果推广项目。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公司位于襄州区古驿镇坤隆工业园217省道旁，交 通 便利。占地面积40000平方，建筑面积 20200平方。是一家集研发、生产、销售、技术服务于一体的专业化生产各类建筑功能砂浆与混凝土外加剂的大型建材公司。</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我们的主要产品有∶ —、玻化微珠保温砂浆外墙保温系统系列产品，包含界面砂浆、玻化微珠保温砂浆、抗裂砂浆等。二、聚合物防水砂浆。主要用于屋面墙面，地下室，厨房，卫生间防水。三、轻质抹灰石膏。用于内墙粉刷，不空鼓不开裂。四、加气砌块专用粘接砂浆。具有用料省、粘按强度高等特点。这些产品以其极高的性价比，在市场上表现出极强的竞争力，被广泛应用于公路、铁路、桥梁、民用建筑等各种省内外重点工程中。</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宋体" w:hAnsi="宋体" w:eastAsia="宋体" w:cs="宋体"/>
                <w:sz w:val="24"/>
                <w:szCs w:val="24"/>
                <w:lang w:val="en-US" w:eastAsia="zh-CN"/>
              </w:rPr>
            </w:pPr>
            <w:r>
              <w:rPr>
                <w:rFonts w:hint="eastAsia" w:ascii="宋体" w:hAnsi="宋体" w:eastAsia="宋体" w:cs="宋体"/>
                <w:sz w:val="21"/>
                <w:szCs w:val="21"/>
              </w:rPr>
              <w:t>坤厚载物，诚至昌隆。公司一贯以严格的品质控制、先进的经营理念、深厚的专业服务，不断地为广大客户提供最优的产品应用方案、最周到的技术服务。我们愿以脚踏实地的创造、至诚致信的经营，广交天下朋友，为客户提供优质产品，为节能减排、构建和谐社会奉献微薄之力。</w:t>
            </w:r>
            <w:r>
              <w:rPr>
                <w:rFonts w:hint="eastAsia" w:ascii="宋体" w:hAnsi="宋体" w:cs="宋体"/>
                <w:sz w:val="21"/>
                <w:szCs w:val="21"/>
                <w:lang w:val="en-US" w:eastAsia="zh-CN"/>
              </w:rPr>
              <w:t>企业现有人数为30人。</w:t>
            </w:r>
          </w:p>
          <w:p>
            <w:pPr>
              <w:rPr>
                <w:rFonts w:ascii="宋体"/>
                <w:b/>
                <w:bCs/>
                <w:color w:val="000000"/>
                <w:szCs w:val="21"/>
              </w:rPr>
            </w:pPr>
            <w:r>
              <w:rPr>
                <w:rFonts w:hint="eastAsia" w:ascii="宋体" w:hAnsi="宋体"/>
                <w:bCs/>
                <w:szCs w:val="21"/>
              </w:rPr>
              <w:t>现场确认范围</w:t>
            </w:r>
          </w:p>
          <w:p>
            <w:bookmarkStart w:id="0" w:name="审核范围"/>
            <w:r>
              <w:t>Q：</w:t>
            </w:r>
            <w:r>
              <w:rPr>
                <w:rFonts w:hint="eastAsia" w:ascii="宋体" w:hAnsi="宋体"/>
                <w:szCs w:val="21"/>
              </w:rPr>
              <w:t>干混砂浆的生产及销售</w:t>
            </w:r>
          </w:p>
          <w:p>
            <w:r>
              <w:t>E：</w:t>
            </w:r>
            <w:r>
              <w:rPr>
                <w:rFonts w:hint="eastAsia" w:ascii="宋体" w:hAnsi="宋体"/>
                <w:szCs w:val="21"/>
              </w:rPr>
              <w:t>干混砂浆的生产及销售所涉及场所的相关环境管理活动</w:t>
            </w:r>
          </w:p>
          <w:p>
            <w:pPr>
              <w:rPr>
                <w:rFonts w:hint="eastAsia" w:ascii="宋体" w:hAnsi="宋体"/>
                <w:szCs w:val="21"/>
              </w:rPr>
            </w:pPr>
            <w:r>
              <w:t>O：</w:t>
            </w:r>
            <w:bookmarkEnd w:id="0"/>
            <w:r>
              <w:rPr>
                <w:rFonts w:hint="eastAsia" w:ascii="宋体" w:hAnsi="宋体"/>
                <w:szCs w:val="21"/>
              </w:rPr>
              <w:t xml:space="preserve">干混砂浆的生产及销售所涉及场所的相关职业健康安全管理活动 </w:t>
            </w:r>
          </w:p>
          <w:p>
            <w:pPr>
              <w:rPr>
                <w:rFonts w:hint="eastAsia" w:ascii="宋体" w:hAnsi="宋体"/>
                <w:b w:val="0"/>
                <w:bCs/>
                <w:szCs w:val="21"/>
                <w:lang w:val="en-US" w:eastAsia="zh-CN"/>
              </w:rPr>
            </w:pPr>
            <w:r>
              <w:rPr>
                <w:rFonts w:hint="eastAsia" w:ascii="宋体" w:hAnsi="宋体"/>
                <w:b w:val="0"/>
                <w:bCs/>
                <w:szCs w:val="21"/>
                <w:lang w:val="en-US" w:eastAsia="zh-CN"/>
              </w:rPr>
              <w:t>企业按顾客要求提供产品，</w:t>
            </w:r>
            <w:r>
              <w:rPr>
                <w:rFonts w:hint="eastAsia" w:ascii="宋体" w:hAnsi="宋体"/>
                <w:b w:val="0"/>
                <w:bCs/>
                <w:szCs w:val="21"/>
              </w:rPr>
              <w:t>不适用条款：</w:t>
            </w:r>
            <w:r>
              <w:rPr>
                <w:rFonts w:ascii="宋体" w:hAnsi="宋体"/>
                <w:b w:val="0"/>
                <w:bCs/>
                <w:szCs w:val="21"/>
              </w:rPr>
              <w:t>Q 8.3</w:t>
            </w:r>
            <w:r>
              <w:rPr>
                <w:rFonts w:hint="eastAsia" w:ascii="宋体" w:hAnsi="宋体"/>
                <w:b w:val="0"/>
                <w:bCs/>
                <w:szCs w:val="21"/>
                <w:lang w:eastAsia="zh-CN"/>
              </w:rPr>
              <w:t>，</w:t>
            </w:r>
            <w:r>
              <w:rPr>
                <w:rFonts w:hint="eastAsia" w:ascii="宋体" w:hAnsi="宋体"/>
                <w:b w:val="0"/>
                <w:bCs/>
                <w:szCs w:val="21"/>
                <w:lang w:val="en-US" w:eastAsia="zh-CN"/>
              </w:rPr>
              <w:t>且不影响满足顾客要求和法律法规要求的执行或责任。</w:t>
            </w:r>
          </w:p>
          <w:p>
            <w:pPr>
              <w:rPr>
                <w:rFonts w:hint="default" w:ascii="宋体" w:hAnsi="宋体" w:eastAsia="宋体"/>
                <w:b w:val="0"/>
                <w:bCs/>
                <w:szCs w:val="21"/>
                <w:lang w:val="en-US" w:eastAsia="zh-CN"/>
              </w:rPr>
            </w:pPr>
            <w:r>
              <w:rPr>
                <w:rFonts w:hint="eastAsia" w:ascii="宋体" w:hAnsi="宋体"/>
                <w:b w:val="0"/>
                <w:bCs/>
                <w:szCs w:val="21"/>
                <w:lang w:val="en-US" w:eastAsia="zh-CN"/>
              </w:rPr>
              <w:t>经识别：关键过程为：</w:t>
            </w:r>
            <w:r>
              <w:rPr>
                <w:rFonts w:hint="eastAsia" w:ascii="宋体" w:hAnsi="宋体"/>
                <w:color w:val="000000"/>
                <w:sz w:val="20"/>
                <w:szCs w:val="20"/>
              </w:rPr>
              <w:t>配比、</w:t>
            </w:r>
            <w:r>
              <w:rPr>
                <w:rFonts w:hint="eastAsia" w:ascii="宋体" w:hAnsi="宋体"/>
                <w:color w:val="000000"/>
                <w:sz w:val="20"/>
                <w:szCs w:val="20"/>
                <w:lang w:val="en-US" w:eastAsia="zh-CN"/>
              </w:rPr>
              <w:t>混合</w:t>
            </w:r>
            <w:r>
              <w:rPr>
                <w:rFonts w:hint="eastAsia"/>
                <w:szCs w:val="21"/>
              </w:rPr>
              <w:t>（定时控制</w:t>
            </w:r>
            <w:r>
              <w:rPr>
                <w:rFonts w:hint="eastAsia"/>
                <w:szCs w:val="21"/>
                <w:lang w:eastAsia="zh-CN"/>
              </w:rPr>
              <w:t>），</w:t>
            </w:r>
            <w:r>
              <w:rPr>
                <w:rFonts w:hint="eastAsia" w:ascii="宋体" w:hAnsi="宋体"/>
                <w:b w:val="0"/>
                <w:bCs/>
                <w:szCs w:val="21"/>
                <w:lang w:val="en-US" w:eastAsia="zh-CN"/>
              </w:rPr>
              <w:t>需确认的过程为：</w:t>
            </w:r>
            <w:r>
              <w:rPr>
                <w:rFonts w:hint="eastAsia" w:ascii="宋体" w:hAnsi="宋体"/>
                <w:color w:val="000000"/>
                <w:sz w:val="20"/>
                <w:szCs w:val="20"/>
              </w:rPr>
              <w:t>配比、</w:t>
            </w:r>
            <w:r>
              <w:rPr>
                <w:rFonts w:hint="eastAsia"/>
                <w:szCs w:val="21"/>
                <w:lang w:val="en-US" w:eastAsia="zh-CN"/>
              </w:rPr>
              <w:t>混合</w:t>
            </w:r>
            <w:r>
              <w:rPr>
                <w:rFonts w:hint="eastAsia"/>
                <w:szCs w:val="21"/>
              </w:rPr>
              <w:t>（定时控制</w:t>
            </w:r>
            <w:r>
              <w:rPr>
                <w:rFonts w:hint="eastAsia"/>
                <w:szCs w:val="21"/>
                <w:lang w:val="en-US" w:eastAsia="zh-CN"/>
              </w:rPr>
              <w:t>)，</w:t>
            </w:r>
          </w:p>
          <w:p>
            <w:pPr>
              <w:rPr>
                <w:rFonts w:ascii="宋体"/>
                <w:bCs/>
                <w:szCs w:val="21"/>
              </w:rPr>
            </w:pPr>
            <w:r>
              <w:rPr>
                <w:rFonts w:hint="eastAsia" w:ascii="宋体" w:hAnsi="宋体"/>
                <w:bCs/>
                <w:szCs w:val="21"/>
              </w:rPr>
              <w:t>质量环境职业健康安全管理体系于</w:t>
            </w:r>
            <w:r>
              <w:rPr>
                <w:rFonts w:ascii="宋体" w:hAnsi="宋体"/>
                <w:szCs w:val="21"/>
              </w:rPr>
              <w:t>20</w:t>
            </w:r>
            <w:r>
              <w:rPr>
                <w:rFonts w:hint="eastAsia" w:ascii="宋体" w:hAnsi="宋体"/>
                <w:szCs w:val="21"/>
                <w:lang w:val="en-US" w:eastAsia="zh-CN"/>
              </w:rPr>
              <w:t>20</w:t>
            </w:r>
            <w:r>
              <w:rPr>
                <w:rFonts w:asci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26</w:t>
            </w:r>
            <w:r>
              <w:rPr>
                <w:rFonts w:hint="eastAsia" w:ascii="宋体" w:hAnsi="宋体"/>
                <w:szCs w:val="21"/>
              </w:rPr>
              <w:t>建立并正式实施。</w:t>
            </w:r>
          </w:p>
          <w:p>
            <w:pPr>
              <w:spacing w:line="360" w:lineRule="auto"/>
              <w:rPr>
                <w:szCs w:val="21"/>
              </w:rPr>
            </w:pPr>
            <w:r>
              <w:rPr>
                <w:rFonts w:hint="eastAsia"/>
                <w:szCs w:val="21"/>
              </w:rPr>
              <w:t>组织机构：</w:t>
            </w:r>
            <w:r>
              <w:rPr>
                <w:rFonts w:hint="eastAsia"/>
                <w:sz w:val="21"/>
                <w:szCs w:val="21"/>
              </w:rPr>
              <w:t>管理层、</w:t>
            </w:r>
            <w:r>
              <w:rPr>
                <w:rFonts w:hint="eastAsia"/>
                <w:sz w:val="21"/>
                <w:szCs w:val="21"/>
                <w:lang w:val="en-US" w:eastAsia="zh-CN"/>
              </w:rPr>
              <w:t>综合</w:t>
            </w:r>
            <w:r>
              <w:rPr>
                <w:rFonts w:hint="eastAsia"/>
                <w:sz w:val="21"/>
                <w:szCs w:val="21"/>
              </w:rPr>
              <w:t>部、</w:t>
            </w:r>
            <w:r>
              <w:rPr>
                <w:rFonts w:hint="eastAsia"/>
                <w:sz w:val="21"/>
                <w:szCs w:val="21"/>
                <w:lang w:val="en-US" w:eastAsia="zh-CN"/>
              </w:rPr>
              <w:t>采购</w:t>
            </w:r>
            <w:r>
              <w:rPr>
                <w:rFonts w:hint="eastAsia"/>
                <w:sz w:val="21"/>
                <w:szCs w:val="21"/>
              </w:rPr>
              <w:t>部、生产部、</w:t>
            </w:r>
            <w:r>
              <w:rPr>
                <w:rFonts w:hint="eastAsia"/>
                <w:sz w:val="21"/>
                <w:szCs w:val="21"/>
                <w:lang w:val="en-US" w:eastAsia="zh-CN"/>
              </w:rPr>
              <w:t>实验</w:t>
            </w:r>
            <w:r>
              <w:rPr>
                <w:rFonts w:hint="eastAsia"/>
                <w:sz w:val="21"/>
                <w:szCs w:val="21"/>
              </w:rPr>
              <w:t>室、</w:t>
            </w:r>
            <w:r>
              <w:rPr>
                <w:rFonts w:hint="eastAsia"/>
                <w:sz w:val="21"/>
                <w:szCs w:val="21"/>
                <w:lang w:val="en-US" w:eastAsia="zh-CN"/>
              </w:rPr>
              <w:t>销售</w:t>
            </w:r>
            <w:r>
              <w:rPr>
                <w:rFonts w:hint="eastAsia"/>
                <w:sz w:val="21"/>
                <w:szCs w:val="21"/>
              </w:rPr>
              <w:t>部</w:t>
            </w:r>
            <w:r>
              <w:rPr>
                <w:rFonts w:hint="eastAsia"/>
                <w:sz w:val="21"/>
                <w:szCs w:val="21"/>
                <w:lang w:eastAsia="zh-CN"/>
              </w:rPr>
              <w:t>、</w:t>
            </w:r>
            <w:r>
              <w:rPr>
                <w:rFonts w:hint="eastAsia"/>
                <w:sz w:val="21"/>
                <w:szCs w:val="21"/>
                <w:lang w:val="en-US" w:eastAsia="zh-CN"/>
              </w:rPr>
              <w:t>财务部</w:t>
            </w:r>
            <w:r>
              <w:rPr>
                <w:rFonts w:hint="eastAsia"/>
                <w:sz w:val="21"/>
                <w:szCs w:val="21"/>
              </w:rPr>
              <w:t>，</w:t>
            </w:r>
          </w:p>
          <w:p>
            <w:pPr>
              <w:jc w:val="center"/>
              <w:rPr>
                <w:rFonts w:hint="eastAsia"/>
                <w:b/>
                <w:bCs/>
                <w:sz w:val="32"/>
                <w:szCs w:val="20"/>
              </w:rPr>
            </w:pPr>
            <w:r>
              <w:rPr>
                <w:rFonts w:hint="eastAsia"/>
                <w:kern w:val="2"/>
                <w:szCs w:val="21"/>
              </w:rPr>
              <w:t>实现流程为：</w:t>
            </w:r>
            <w:r>
              <w:rPr>
                <w:sz w:val="24"/>
              </w:rPr>
              <w:t xml:space="preserve">  </w:t>
            </w:r>
            <w:r>
              <w:rPr>
                <w:rFonts w:hint="eastAsia"/>
                <w:b/>
                <w:bCs/>
                <w:sz w:val="32"/>
                <w:szCs w:val="20"/>
              </w:rPr>
              <w:t>工艺流程图</w:t>
            </w:r>
          </w:p>
          <w:p>
            <w:pPr>
              <w:jc w:val="left"/>
              <w:rPr>
                <w:rFonts w:hint="eastAsia"/>
                <w:sz w:val="28"/>
                <w:szCs w:val="20"/>
              </w:rPr>
            </w:pPr>
            <w:r>
              <w:drawing>
                <wp:inline distT="0" distB="0" distL="114300" distR="114300">
                  <wp:extent cx="6096000" cy="15113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6096000" cy="1511300"/>
                          </a:xfrm>
                          <a:prstGeom prst="rect">
                            <a:avLst/>
                          </a:prstGeom>
                          <a:noFill/>
                          <a:ln>
                            <a:noFill/>
                          </a:ln>
                        </pic:spPr>
                      </pic:pic>
                    </a:graphicData>
                  </a:graphic>
                </wp:inline>
              </w:drawing>
            </w:r>
          </w:p>
          <w:p>
            <w:pPr>
              <w:jc w:val="left"/>
            </w:pPr>
            <w:r>
              <w:rPr>
                <w:rFonts w:hint="eastAsia"/>
                <w:kern w:val="2"/>
                <w:sz w:val="21"/>
                <w:szCs w:val="21"/>
              </w:rPr>
              <w:t>提供了法律、法规和其他要求清单</w:t>
            </w:r>
            <w:r>
              <w:rPr>
                <w:rFonts w:hint="eastAsia"/>
                <w:kern w:val="2"/>
                <w:sz w:val="21"/>
                <w:szCs w:val="21"/>
                <w:lang w:eastAsia="zh-CN"/>
              </w:rPr>
              <w:t>，</w:t>
            </w:r>
            <w:r>
              <w:rPr>
                <w:rFonts w:hint="eastAsia" w:ascii="宋体" w:hAnsi="宋体" w:cs="宋体"/>
                <w:color w:val="000000"/>
                <w:kern w:val="0"/>
                <w:szCs w:val="21"/>
              </w:rPr>
              <w:t>提</w:t>
            </w:r>
            <w:r>
              <w:rPr>
                <w:rFonts w:hint="eastAsia" w:ascii="宋体" w:hAnsi="宋体" w:cs="宋体"/>
                <w:kern w:val="0"/>
                <w:szCs w:val="21"/>
              </w:rPr>
              <w:t>供《适用的法律法规清单》、提供了《外来文件情况清单》“外来文件清单”提供了与</w:t>
            </w:r>
            <w:r>
              <w:rPr>
                <w:rFonts w:hint="eastAsia" w:ascii="宋体" w:hAnsi="宋体"/>
                <w:szCs w:val="21"/>
              </w:rPr>
              <w:t>干混砂浆</w:t>
            </w:r>
            <w:r>
              <w:rPr>
                <w:rFonts w:hint="eastAsia" w:ascii="宋体" w:hAnsi="宋体" w:cs="宋体"/>
                <w:kern w:val="0"/>
                <w:szCs w:val="21"/>
              </w:rPr>
              <w:t>产品相关的法律法规</w:t>
            </w:r>
          </w:p>
          <w:p>
            <w:pPr>
              <w:rPr>
                <w:rFonts w:hint="default"/>
                <w:szCs w:val="21"/>
                <w:lang w:val="en-US" w:eastAsia="zh-CN"/>
              </w:rPr>
            </w:pPr>
            <w:r>
              <w:rPr>
                <w:rFonts w:hint="eastAsia"/>
                <w:szCs w:val="21"/>
                <w:lang w:val="en-US" w:eastAsia="zh-CN"/>
              </w:rPr>
              <w:t>提供2012.12.18月襄阳坤隆建材科技有限公司年产十万吨干粉保温材料生产项目环境影响报告表、2012年12月25日襄阳襄州区环境保护局襄区环(2012)110号《关于襄阳坤隆建材科技有限公司年产十万吨干粉保温材料生产项目环境影响报告表的批复》、</w:t>
            </w:r>
            <w:r>
              <w:rPr>
                <w:rFonts w:hint="eastAsia"/>
                <w:color w:val="auto"/>
                <w:szCs w:val="21"/>
                <w:lang w:val="en-US" w:eastAsia="zh-CN"/>
              </w:rPr>
              <w:t>建设项目工程竣工环境保护“三同时”验收登记表、</w:t>
            </w:r>
            <w:r>
              <w:rPr>
                <w:rFonts w:hint="eastAsia"/>
                <w:szCs w:val="21"/>
                <w:lang w:val="en-US" w:eastAsia="zh-CN"/>
              </w:rPr>
              <w:t>襄阳坤隆建材科技有限公司环保竣工环境保护验收意见、验收工作组名单，提供湖北博测检测技术有限公司检测报告，报告日期：2021年1月6日。</w:t>
            </w:r>
          </w:p>
          <w:p>
            <w:pPr>
              <w:rPr>
                <w:szCs w:val="21"/>
              </w:rPr>
            </w:pPr>
            <w:r>
              <w:rPr>
                <w:rFonts w:hint="eastAsia"/>
              </w:rPr>
              <w:t>相关方投诉情况：无。</w:t>
            </w:r>
          </w:p>
          <w:p>
            <w:pPr>
              <w:spacing w:line="440" w:lineRule="exact"/>
              <w:rPr>
                <w:sz w:val="24"/>
                <w:szCs w:val="24"/>
              </w:rPr>
            </w:pPr>
          </w:p>
          <w:p>
            <w:pPr>
              <w:spacing w:line="440" w:lineRule="exact"/>
              <w:rPr>
                <w:sz w:val="21"/>
                <w:szCs w:val="21"/>
              </w:rPr>
            </w:pPr>
            <w:r>
              <w:rPr>
                <w:rFonts w:hint="eastAsia"/>
                <w:sz w:val="21"/>
                <w:szCs w:val="21"/>
              </w:rPr>
              <w:t>公司的质量、环境和职业健康安全的方针：</w:t>
            </w:r>
          </w:p>
          <w:p>
            <w:pPr>
              <w:spacing w:line="360" w:lineRule="auto"/>
              <w:ind w:firstLine="420" w:firstLineChars="200"/>
              <w:jc w:val="both"/>
              <w:rPr>
                <w:rStyle w:val="8"/>
                <w:rFonts w:hint="eastAsia" w:ascii="宋体" w:hAnsi="宋体" w:eastAsia="宋体" w:cs="宋体"/>
                <w:b w:val="0"/>
                <w:bCs/>
                <w:color w:val="000000"/>
                <w:sz w:val="21"/>
                <w:szCs w:val="21"/>
              </w:rPr>
            </w:pPr>
            <w:r>
              <w:rPr>
                <w:rStyle w:val="8"/>
                <w:rFonts w:hint="eastAsia" w:ascii="宋体" w:hAnsi="宋体" w:eastAsia="宋体" w:cs="宋体"/>
                <w:b w:val="0"/>
                <w:bCs/>
                <w:color w:val="000000"/>
                <w:sz w:val="21"/>
                <w:szCs w:val="21"/>
              </w:rPr>
              <w:t>诚信为本，质量至上；节能降耗，保护环境；</w:t>
            </w:r>
          </w:p>
          <w:p>
            <w:pPr>
              <w:spacing w:line="440" w:lineRule="exact"/>
              <w:ind w:firstLine="420" w:firstLineChars="200"/>
              <w:rPr>
                <w:rFonts w:hint="eastAsia" w:ascii="宋体" w:hAnsi="宋体" w:eastAsia="宋体" w:cs="宋体"/>
                <w:b w:val="0"/>
                <w:bCs/>
                <w:spacing w:val="20"/>
                <w:sz w:val="21"/>
                <w:szCs w:val="21"/>
                <w:lang w:val="en-US" w:eastAsia="zh-CN"/>
              </w:rPr>
            </w:pPr>
            <w:r>
              <w:rPr>
                <w:rStyle w:val="8"/>
                <w:rFonts w:hint="eastAsia" w:ascii="宋体" w:hAnsi="宋体" w:eastAsia="宋体" w:cs="宋体"/>
                <w:b w:val="0"/>
                <w:bCs/>
                <w:color w:val="000000"/>
                <w:sz w:val="21"/>
                <w:szCs w:val="21"/>
              </w:rPr>
              <w:t>健康安全，以人为本；规范管理，持续改进。</w:t>
            </w:r>
          </w:p>
          <w:p>
            <w:pPr>
              <w:spacing w:line="440" w:lineRule="exact"/>
              <w:rPr>
                <w:sz w:val="21"/>
                <w:szCs w:val="21"/>
              </w:rPr>
            </w:pPr>
            <w:r>
              <w:rPr>
                <w:rFonts w:hint="eastAsia"/>
                <w:sz w:val="21"/>
                <w:szCs w:val="21"/>
              </w:rPr>
              <w:t>管理目标：</w:t>
            </w:r>
          </w:p>
          <w:p>
            <w:pPr>
              <w:ind w:firstLine="210" w:firstLineChars="100"/>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xml:space="preserve"> 公司质量目标：</w:t>
            </w:r>
          </w:p>
          <w:p>
            <w:pPr>
              <w:spacing w:line="600" w:lineRule="exact"/>
              <w:ind w:firstLine="630" w:firstLineChars="300"/>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 xml:space="preserve"> 1．干混砂浆产品合格率100%，优良率不低于75％；</w:t>
            </w:r>
          </w:p>
          <w:p>
            <w:pPr>
              <w:spacing w:line="600" w:lineRule="exact"/>
              <w:ind w:firstLine="630" w:firstLineChars="300"/>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2．顾客对干混砂浆的质量和服务质量的满意度90%；</w:t>
            </w:r>
          </w:p>
          <w:p>
            <w:pPr>
              <w:spacing w:line="600" w:lineRule="exact"/>
              <w:ind w:firstLine="630" w:firstLineChars="300"/>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3．产品交付准时率90％；</w:t>
            </w:r>
          </w:p>
          <w:p>
            <w:pPr>
              <w:ind w:firstLine="630" w:firstLineChars="300"/>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4．设备运行完好率90％；</w:t>
            </w:r>
          </w:p>
          <w:p>
            <w:pPr>
              <w:ind w:firstLine="105" w:firstLineChars="50"/>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公司环境目标：</w:t>
            </w:r>
          </w:p>
          <w:p>
            <w:pPr>
              <w:widowControl/>
              <w:autoSpaceDE w:val="0"/>
              <w:autoSpaceDN w:val="0"/>
              <w:adjustRightInd w:val="0"/>
              <w:spacing w:before="76"/>
              <w:ind w:firstLine="210" w:firstLineChars="100"/>
              <w:jc w:val="left"/>
              <w:rPr>
                <w:rFonts w:hint="eastAsia" w:asciiTheme="majorEastAsia" w:hAnsiTheme="majorEastAsia" w:eastAsiaTheme="majorEastAsia" w:cstheme="majorEastAsia"/>
                <w:b w:val="0"/>
                <w:bCs w:val="0"/>
                <w:kern w:val="0"/>
                <w:sz w:val="21"/>
                <w:szCs w:val="21"/>
              </w:rPr>
            </w:pPr>
            <w:r>
              <w:rPr>
                <w:rFonts w:hint="eastAsia" w:asciiTheme="majorEastAsia" w:hAnsiTheme="majorEastAsia" w:eastAsiaTheme="majorEastAsia" w:cstheme="majorEastAsia"/>
                <w:b w:val="0"/>
                <w:bCs w:val="0"/>
                <w:kern w:val="0"/>
                <w:sz w:val="21"/>
                <w:szCs w:val="21"/>
              </w:rPr>
              <w:t xml:space="preserve"> 生产中噪声、粉尘达标排放；</w:t>
            </w:r>
          </w:p>
          <w:p>
            <w:pPr>
              <w:widowControl/>
              <w:autoSpaceDE w:val="0"/>
              <w:autoSpaceDN w:val="0"/>
              <w:adjustRightInd w:val="0"/>
              <w:spacing w:before="110"/>
              <w:ind w:firstLine="105" w:firstLineChars="50"/>
              <w:jc w:val="left"/>
              <w:rPr>
                <w:rFonts w:hint="eastAsia" w:asciiTheme="majorEastAsia" w:hAnsiTheme="majorEastAsia" w:eastAsiaTheme="majorEastAsia" w:cstheme="majorEastAsia"/>
                <w:b w:val="0"/>
                <w:bCs w:val="0"/>
                <w:kern w:val="0"/>
                <w:sz w:val="21"/>
                <w:szCs w:val="21"/>
              </w:rPr>
            </w:pPr>
            <w:r>
              <w:rPr>
                <w:rFonts w:hint="eastAsia" w:asciiTheme="majorEastAsia" w:hAnsiTheme="majorEastAsia" w:eastAsiaTheme="majorEastAsia" w:cstheme="majorEastAsia"/>
                <w:b w:val="0"/>
                <w:bCs w:val="0"/>
                <w:kern w:val="0"/>
                <w:sz w:val="21"/>
                <w:szCs w:val="21"/>
              </w:rPr>
              <w:t>公司职业健康安全目标：</w:t>
            </w:r>
          </w:p>
          <w:p>
            <w:pPr>
              <w:widowControl/>
              <w:shd w:val="clear" w:color="auto" w:fill="FFFFFF"/>
              <w:wordWrap w:val="0"/>
              <w:jc w:val="left"/>
              <w:rPr>
                <w:rFonts w:hint="eastAsia" w:asciiTheme="majorEastAsia" w:hAnsiTheme="majorEastAsia" w:eastAsiaTheme="majorEastAsia" w:cstheme="majorEastAsia"/>
                <w:b w:val="0"/>
                <w:bCs w:val="0"/>
                <w:color w:val="333333"/>
                <w:kern w:val="0"/>
                <w:sz w:val="21"/>
                <w:szCs w:val="21"/>
              </w:rPr>
            </w:pPr>
            <w:r>
              <w:rPr>
                <w:rFonts w:hint="eastAsia" w:asciiTheme="majorEastAsia" w:hAnsiTheme="majorEastAsia" w:eastAsiaTheme="majorEastAsia" w:cstheme="majorEastAsia"/>
                <w:b w:val="0"/>
                <w:bCs w:val="0"/>
                <w:color w:val="333333"/>
                <w:kern w:val="0"/>
                <w:sz w:val="21"/>
                <w:szCs w:val="21"/>
              </w:rPr>
              <w:t xml:space="preserve">   1 劳动保护用品及时发放，发放率为100％ 。</w:t>
            </w:r>
          </w:p>
          <w:p>
            <w:pPr>
              <w:widowControl/>
              <w:shd w:val="clear" w:color="auto" w:fill="FFFFFF"/>
              <w:wordWrap w:val="0"/>
              <w:jc w:val="left"/>
              <w:rPr>
                <w:rFonts w:hint="eastAsia" w:asciiTheme="majorEastAsia" w:hAnsiTheme="majorEastAsia" w:eastAsiaTheme="majorEastAsia" w:cstheme="majorEastAsia"/>
                <w:b w:val="0"/>
                <w:bCs w:val="0"/>
                <w:color w:val="333333"/>
                <w:kern w:val="0"/>
                <w:sz w:val="21"/>
                <w:szCs w:val="21"/>
              </w:rPr>
            </w:pPr>
            <w:r>
              <w:rPr>
                <w:rFonts w:hint="eastAsia" w:asciiTheme="majorEastAsia" w:hAnsiTheme="majorEastAsia" w:eastAsiaTheme="majorEastAsia" w:cstheme="majorEastAsia"/>
                <w:b w:val="0"/>
                <w:bCs w:val="0"/>
                <w:color w:val="333333"/>
                <w:kern w:val="0"/>
                <w:sz w:val="21"/>
                <w:szCs w:val="21"/>
              </w:rPr>
              <w:t xml:space="preserve">  2 预防职业病，病发率为零。</w:t>
            </w:r>
          </w:p>
          <w:p>
            <w:pPr>
              <w:widowControl/>
              <w:shd w:val="clear" w:color="auto" w:fill="FFFFFF"/>
              <w:wordWrap w:val="0"/>
              <w:jc w:val="left"/>
              <w:rPr>
                <w:rFonts w:hint="eastAsia" w:asciiTheme="majorEastAsia" w:hAnsiTheme="majorEastAsia" w:eastAsiaTheme="majorEastAsia" w:cstheme="majorEastAsia"/>
                <w:b w:val="0"/>
                <w:bCs w:val="0"/>
                <w:color w:val="333333"/>
                <w:kern w:val="0"/>
                <w:sz w:val="21"/>
                <w:szCs w:val="21"/>
              </w:rPr>
            </w:pPr>
            <w:r>
              <w:rPr>
                <w:rFonts w:hint="eastAsia" w:asciiTheme="majorEastAsia" w:hAnsiTheme="majorEastAsia" w:eastAsiaTheme="majorEastAsia" w:cstheme="majorEastAsia"/>
                <w:b w:val="0"/>
                <w:bCs w:val="0"/>
                <w:color w:val="333333"/>
                <w:kern w:val="0"/>
                <w:sz w:val="21"/>
                <w:szCs w:val="21"/>
              </w:rPr>
              <w:t xml:space="preserve">  3安全事故零发生。</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p>
          <w:p>
            <w:pPr>
              <w:pStyle w:val="4"/>
              <w:pBdr>
                <w:bottom w:val="none" w:color="auto" w:sz="0" w:space="0"/>
              </w:pBdr>
              <w:tabs>
                <w:tab w:val="center" w:pos="5737"/>
                <w:tab w:val="clear" w:pos="4153"/>
              </w:tabs>
              <w:jc w:val="left"/>
              <w:rPr>
                <w:color w:val="000000"/>
                <w:kern w:val="2"/>
                <w:sz w:val="21"/>
                <w:szCs w:val="21"/>
              </w:rPr>
            </w:pPr>
            <w:r>
              <w:rPr>
                <w:rFonts w:hint="eastAsia"/>
                <w:color w:val="000000"/>
                <w:kern w:val="2"/>
                <w:sz w:val="21"/>
                <w:szCs w:val="21"/>
              </w:rPr>
              <w:t>提供了本公司的环境和安全管理方案和控制措施，有编制人、审批人签字，二阶段进行进一步关注</w:t>
            </w: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000000"/>
                <w:kern w:val="2"/>
                <w:sz w:val="21"/>
                <w:szCs w:val="21"/>
              </w:rPr>
            </w:pPr>
            <w:r>
              <w:rPr>
                <w:color w:val="000000"/>
                <w:kern w:val="2"/>
                <w:sz w:val="21"/>
                <w:szCs w:val="21"/>
              </w:rPr>
              <w:t>20</w:t>
            </w:r>
            <w:r>
              <w:rPr>
                <w:rFonts w:hint="eastAsia"/>
                <w:color w:val="000000"/>
                <w:kern w:val="2"/>
                <w:sz w:val="21"/>
                <w:szCs w:val="21"/>
                <w:lang w:val="en-US" w:eastAsia="zh-CN"/>
              </w:rPr>
              <w:t>20</w:t>
            </w:r>
            <w:r>
              <w:rPr>
                <w:rFonts w:hint="eastAsia"/>
                <w:color w:val="000000"/>
                <w:kern w:val="2"/>
                <w:sz w:val="21"/>
                <w:szCs w:val="21"/>
              </w:rPr>
              <w:t>年</w:t>
            </w:r>
            <w:r>
              <w:rPr>
                <w:rFonts w:hint="eastAsia"/>
                <w:color w:val="000000"/>
                <w:kern w:val="2"/>
                <w:sz w:val="21"/>
                <w:szCs w:val="21"/>
                <w:lang w:val="en-US" w:eastAsia="zh-CN"/>
              </w:rPr>
              <w:t>7</w:t>
            </w:r>
            <w:r>
              <w:rPr>
                <w:rFonts w:hint="eastAsia"/>
                <w:color w:val="000000"/>
                <w:kern w:val="2"/>
                <w:sz w:val="21"/>
                <w:szCs w:val="21"/>
              </w:rPr>
              <w:t>月</w:t>
            </w:r>
            <w:r>
              <w:rPr>
                <w:rFonts w:hint="eastAsia"/>
                <w:color w:val="000000"/>
                <w:kern w:val="2"/>
                <w:sz w:val="21"/>
                <w:szCs w:val="21"/>
                <w:lang w:val="en-US" w:eastAsia="zh-CN"/>
              </w:rPr>
              <w:t>23</w:t>
            </w:r>
            <w:r>
              <w:rPr>
                <w:rFonts w:hint="eastAsia"/>
                <w:color w:val="000000"/>
                <w:kern w:val="2"/>
                <w:sz w:val="21"/>
                <w:szCs w:val="21"/>
              </w:rPr>
              <w:t>日对适用的法律法规符合性进行了评价，提供了</w:t>
            </w:r>
            <w:r>
              <w:rPr>
                <w:color w:val="000000"/>
                <w:kern w:val="2"/>
                <w:sz w:val="21"/>
                <w:szCs w:val="21"/>
              </w:rPr>
              <w:t>20</w:t>
            </w:r>
            <w:r>
              <w:rPr>
                <w:rFonts w:hint="eastAsia"/>
                <w:color w:val="000000"/>
                <w:kern w:val="2"/>
                <w:sz w:val="21"/>
                <w:szCs w:val="21"/>
                <w:lang w:val="en-US" w:eastAsia="zh-CN"/>
              </w:rPr>
              <w:t>20</w:t>
            </w:r>
            <w:r>
              <w:rPr>
                <w:rFonts w:hint="eastAsia"/>
                <w:color w:val="000000"/>
                <w:kern w:val="2"/>
                <w:sz w:val="21"/>
                <w:szCs w:val="21"/>
              </w:rPr>
              <w:t>年合规性评价记录。</w:t>
            </w: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FF0000"/>
                <w:kern w:val="2"/>
                <w:sz w:val="21"/>
                <w:szCs w:val="21"/>
              </w:rPr>
            </w:pPr>
          </w:p>
          <w:p>
            <w:pPr>
              <w:pStyle w:val="4"/>
              <w:pBdr>
                <w:bottom w:val="none" w:color="auto" w:sz="0" w:space="0"/>
              </w:pBdr>
              <w:tabs>
                <w:tab w:val="center" w:pos="5737"/>
                <w:tab w:val="clear" w:pos="4153"/>
              </w:tabs>
              <w:jc w:val="left"/>
              <w:rPr>
                <w:color w:val="000000"/>
                <w:kern w:val="2"/>
                <w:sz w:val="21"/>
                <w:szCs w:val="21"/>
              </w:rPr>
            </w:pPr>
            <w:r>
              <w:rPr>
                <w:rFonts w:hint="eastAsia"/>
                <w:color w:val="000000"/>
                <w:kern w:val="2"/>
                <w:sz w:val="21"/>
                <w:szCs w:val="21"/>
              </w:rPr>
              <w:t>提供了“重要环境因素清单”</w:t>
            </w:r>
          </w:p>
          <w:p>
            <w:pPr>
              <w:rPr>
                <w:rFonts w:ascii="宋体" w:cs="宋体"/>
                <w:kern w:val="0"/>
                <w:szCs w:val="21"/>
              </w:rPr>
            </w:pPr>
            <w:r>
              <w:t>1.</w:t>
            </w:r>
            <w:r>
              <w:rPr>
                <w:rFonts w:ascii="宋体" w:hAnsi="宋体" w:cs="宋体"/>
                <w:kern w:val="0"/>
                <w:szCs w:val="21"/>
              </w:rPr>
              <w:t xml:space="preserve"> </w:t>
            </w:r>
            <w:r>
              <w:rPr>
                <w:rFonts w:hint="eastAsia" w:ascii="宋体" w:hAnsi="宋体" w:cs="宋体"/>
                <w:kern w:val="0"/>
                <w:szCs w:val="21"/>
              </w:rPr>
              <w:t>粉尘的排放</w:t>
            </w:r>
            <w:r>
              <w:t xml:space="preserve">    2.</w:t>
            </w:r>
            <w:r>
              <w:rPr>
                <w:rFonts w:ascii="宋体" w:hAnsi="宋体" w:cs="宋体"/>
                <w:kern w:val="0"/>
                <w:szCs w:val="21"/>
              </w:rPr>
              <w:t xml:space="preserve"> </w:t>
            </w:r>
            <w:r>
              <w:rPr>
                <w:rFonts w:hint="eastAsia" w:ascii="宋体" w:hAnsi="宋体" w:cs="宋体"/>
                <w:kern w:val="0"/>
                <w:szCs w:val="21"/>
              </w:rPr>
              <w:t>噪声排放</w:t>
            </w:r>
          </w:p>
          <w:p>
            <w:r>
              <w:rPr>
                <w:rFonts w:ascii="宋体" w:hAnsi="宋体" w:cs="宋体"/>
                <w:kern w:val="0"/>
                <w:szCs w:val="21"/>
              </w:rPr>
              <w:t>3</w:t>
            </w:r>
            <w:r>
              <w:rPr>
                <w:rFonts w:hint="eastAsia" w:ascii="宋体" w:hAnsi="宋体" w:cs="宋体"/>
                <w:kern w:val="0"/>
                <w:szCs w:val="21"/>
              </w:rPr>
              <w:t>、</w:t>
            </w:r>
            <w:r>
              <w:rPr>
                <w:rFonts w:hint="eastAsia" w:ascii="新宋体" w:hAnsi="新宋体" w:eastAsia="新宋体"/>
                <w:szCs w:val="21"/>
              </w:rPr>
              <w:t>潜在火灾</w:t>
            </w:r>
            <w:r>
              <w:rPr>
                <w:rFonts w:ascii="新宋体" w:hAnsi="新宋体" w:eastAsia="新宋体"/>
                <w:szCs w:val="21"/>
              </w:rPr>
              <w:t xml:space="preserve">    4</w:t>
            </w:r>
            <w:r>
              <w:rPr>
                <w:rFonts w:hint="eastAsia" w:ascii="新宋体" w:hAnsi="新宋体" w:eastAsia="新宋体"/>
                <w:szCs w:val="21"/>
              </w:rPr>
              <w:t>、固体废物排放</w:t>
            </w:r>
          </w:p>
          <w:p>
            <w:r>
              <w:rPr>
                <w:rFonts w:hint="eastAsia"/>
              </w:rPr>
              <w:t>提供了“不可接受风险清单”</w:t>
            </w:r>
          </w:p>
          <w:p>
            <w:pPr>
              <w:numPr>
                <w:ilvl w:val="0"/>
                <w:numId w:val="1"/>
              </w:numPr>
            </w:pPr>
            <w:r>
              <w:rPr>
                <w:rFonts w:hint="eastAsia"/>
              </w:rPr>
              <w:t>机械伤害</w:t>
            </w:r>
            <w:r>
              <w:t xml:space="preserve">    2</w:t>
            </w:r>
            <w:r>
              <w:rPr>
                <w:rFonts w:hint="eastAsia"/>
              </w:rPr>
              <w:t>、高空坠落</w:t>
            </w:r>
          </w:p>
          <w:p>
            <w:pPr>
              <w:rPr>
                <w:rFonts w:hint="default" w:eastAsia="宋体"/>
                <w:bCs/>
                <w:spacing w:val="10"/>
                <w:lang w:val="en-US" w:eastAsia="zh-CN"/>
              </w:rPr>
            </w:pPr>
            <w:r>
              <w:rPr>
                <w:rFonts w:hint="eastAsia"/>
                <w:bCs/>
                <w:spacing w:val="10"/>
                <w:lang w:val="en-US" w:eastAsia="zh-CN"/>
              </w:rPr>
              <w:t>3</w:t>
            </w:r>
            <w:r>
              <w:rPr>
                <w:rFonts w:hint="eastAsia"/>
                <w:bCs/>
                <w:spacing w:val="10"/>
              </w:rPr>
              <w:t>．</w:t>
            </w:r>
            <w:r>
              <w:rPr>
                <w:rFonts w:hint="eastAsia" w:ascii="宋体" w:hAnsi="宋体"/>
                <w:sz w:val="20"/>
              </w:rPr>
              <w:t>职业病</w:t>
            </w:r>
            <w:r>
              <w:rPr>
                <w:rFonts w:hint="eastAsia" w:ascii="宋体" w:hAnsi="宋体"/>
                <w:sz w:val="20"/>
                <w:lang w:val="en-US" w:eastAsia="zh-CN"/>
              </w:rPr>
              <w:t xml:space="preserve">  4.火灾爆炸 5.触电</w:t>
            </w:r>
          </w:p>
          <w:p>
            <w:pPr>
              <w:rPr>
                <w:szCs w:val="21"/>
              </w:rPr>
            </w:pPr>
            <w:r>
              <w:rPr>
                <w:rFonts w:hint="eastAsia"/>
                <w:szCs w:val="21"/>
              </w:rPr>
              <w:t>公司于</w:t>
            </w:r>
            <w:r>
              <w:rPr>
                <w:szCs w:val="21"/>
              </w:rPr>
              <w:t>20</w:t>
            </w:r>
            <w:r>
              <w:rPr>
                <w:rFonts w:hint="eastAsia"/>
                <w:szCs w:val="21"/>
                <w:lang w:val="en-US" w:eastAsia="zh-CN"/>
              </w:rPr>
              <w:t>21</w:t>
            </w:r>
            <w:r>
              <w:rPr>
                <w:szCs w:val="21"/>
              </w:rPr>
              <w:t>.</w:t>
            </w:r>
            <w:r>
              <w:rPr>
                <w:rFonts w:hint="eastAsia"/>
                <w:szCs w:val="21"/>
                <w:lang w:val="en-US" w:eastAsia="zh-CN"/>
              </w:rPr>
              <w:t>1</w:t>
            </w:r>
            <w:r>
              <w:rPr>
                <w:szCs w:val="21"/>
              </w:rPr>
              <w:t>.</w:t>
            </w:r>
            <w:r>
              <w:rPr>
                <w:rFonts w:hint="eastAsia"/>
                <w:szCs w:val="21"/>
                <w:lang w:val="en-US" w:eastAsia="zh-CN"/>
              </w:rPr>
              <w:t>7</w:t>
            </w:r>
            <w:r>
              <w:rPr>
                <w:szCs w:val="21"/>
              </w:rPr>
              <w:t>-</w:t>
            </w:r>
            <w:r>
              <w:rPr>
                <w:rFonts w:hint="eastAsia"/>
                <w:szCs w:val="21"/>
                <w:lang w:val="en-US" w:eastAsia="zh-CN"/>
              </w:rPr>
              <w:t>8</w:t>
            </w:r>
            <w:r>
              <w:rPr>
                <w:rFonts w:hint="eastAsia"/>
                <w:szCs w:val="21"/>
              </w:rPr>
              <w:t>进行一次内审，提供了内审计划、内审记录、不符合报告、内审报告等，发现了</w:t>
            </w:r>
            <w:r>
              <w:rPr>
                <w:rFonts w:hint="eastAsia"/>
                <w:szCs w:val="21"/>
                <w:lang w:val="en-US" w:eastAsia="zh-CN"/>
              </w:rPr>
              <w:t>6</w:t>
            </w:r>
            <w:r>
              <w:rPr>
                <w:rFonts w:hint="eastAsia"/>
                <w:szCs w:val="21"/>
              </w:rPr>
              <w:t>项不符合项，具体内容，二阶段进一步审核。</w:t>
            </w:r>
          </w:p>
          <w:p>
            <w:pPr>
              <w:rPr>
                <w:szCs w:val="21"/>
              </w:rPr>
            </w:pPr>
          </w:p>
          <w:p>
            <w:pPr>
              <w:rPr>
                <w:szCs w:val="21"/>
              </w:rPr>
            </w:pPr>
          </w:p>
          <w:p>
            <w:pPr>
              <w:rPr>
                <w:szCs w:val="21"/>
              </w:rPr>
            </w:pPr>
            <w:r>
              <w:rPr>
                <w:szCs w:val="21"/>
              </w:rPr>
              <w:t>20</w:t>
            </w:r>
            <w:r>
              <w:rPr>
                <w:rFonts w:hint="eastAsia"/>
                <w:szCs w:val="21"/>
                <w:lang w:val="en-US" w:eastAsia="zh-CN"/>
              </w:rPr>
              <w:t>21</w:t>
            </w:r>
            <w:r>
              <w:rPr>
                <w:szCs w:val="21"/>
              </w:rPr>
              <w:t>.</w:t>
            </w:r>
            <w:r>
              <w:rPr>
                <w:rFonts w:hint="eastAsia"/>
                <w:szCs w:val="21"/>
                <w:lang w:val="en-US" w:eastAsia="zh-CN"/>
              </w:rPr>
              <w:t>1</w:t>
            </w:r>
            <w:r>
              <w:rPr>
                <w:szCs w:val="21"/>
              </w:rPr>
              <w:t>.</w:t>
            </w:r>
            <w:r>
              <w:rPr>
                <w:rFonts w:hint="eastAsia"/>
                <w:szCs w:val="21"/>
                <w:lang w:val="en-US" w:eastAsia="zh-CN"/>
              </w:rPr>
              <w:t>28</w:t>
            </w:r>
            <w:r>
              <w:rPr>
                <w:rFonts w:hint="eastAsia"/>
                <w:szCs w:val="21"/>
              </w:rPr>
              <w:t>召开了管理评审会议，由总经理主持。提供管理评审报告，具体内容，二阶段进一步审核。</w:t>
            </w:r>
          </w:p>
          <w:p>
            <w:pPr>
              <w:rPr>
                <w:szCs w:val="21"/>
              </w:rPr>
            </w:pPr>
          </w:p>
          <w:p>
            <w:pPr>
              <w:rPr>
                <w:szCs w:val="21"/>
              </w:rPr>
            </w:pPr>
          </w:p>
          <w:p>
            <w:pPr>
              <w:rPr>
                <w:rFonts w:hint="eastAsia"/>
                <w:color w:val="auto"/>
                <w:szCs w:val="21"/>
                <w:lang w:val="en-US" w:eastAsia="zh-CN"/>
              </w:rPr>
            </w:pPr>
            <w:r>
              <w:rPr>
                <w:rFonts w:hint="eastAsia"/>
                <w:color w:val="auto"/>
                <w:szCs w:val="21"/>
                <w:lang w:val="en-US" w:eastAsia="zh-CN"/>
              </w:rPr>
              <w:t>叉车</w:t>
            </w:r>
          </w:p>
          <w:p>
            <w:pPr>
              <w:rPr>
                <w:szCs w:val="21"/>
              </w:rPr>
            </w:pPr>
            <w:r>
              <w:rPr>
                <w:rFonts w:hint="eastAsia"/>
                <w:szCs w:val="21"/>
                <w:lang w:val="en-US" w:eastAsia="zh-CN"/>
              </w:rPr>
              <w:t>灭火器、消防栓、布袋除尘器、安全环保标识、绿化带、化粪池等</w:t>
            </w:r>
            <w:r>
              <w:rPr>
                <w:rFonts w:hint="eastAsia"/>
                <w:szCs w:val="21"/>
              </w:rPr>
              <w:t>。</w:t>
            </w:r>
          </w:p>
          <w:p>
            <w:pPr>
              <w:rPr>
                <w:szCs w:val="21"/>
              </w:rPr>
            </w:pPr>
          </w:p>
          <w:p>
            <w:pPr>
              <w:rPr>
                <w:szCs w:val="21"/>
              </w:rPr>
            </w:pPr>
            <w:bookmarkStart w:id="3" w:name="_GoBack"/>
            <w:bookmarkEnd w:id="3"/>
          </w:p>
          <w:p>
            <w:pPr>
              <w:rPr>
                <w:szCs w:val="21"/>
              </w:rPr>
            </w:pPr>
          </w:p>
          <w:p>
            <w:pPr>
              <w:pStyle w:val="13"/>
              <w:rPr>
                <w:szCs w:val="21"/>
              </w:rPr>
            </w:pPr>
          </w:p>
          <w:p>
            <w:pPr>
              <w:rPr>
                <w:rFonts w:hint="eastAsia" w:ascii="宋体" w:eastAsia="宋体"/>
                <w:spacing w:val="20"/>
                <w:szCs w:val="21"/>
                <w:lang w:val="de-DE" w:eastAsia="zh-CN"/>
              </w:rPr>
            </w:pPr>
            <w:r>
              <w:rPr>
                <w:rFonts w:hint="eastAsia"/>
                <w:szCs w:val="21"/>
              </w:rPr>
              <w:t>经询问，</w:t>
            </w:r>
            <w:bookmarkStart w:id="1" w:name="组织名称Add2"/>
            <w:r>
              <w:rPr>
                <w:rFonts w:ascii="宋体"/>
                <w:b w:val="0"/>
                <w:bCs/>
                <w:color w:val="000000"/>
                <w:sz w:val="20"/>
                <w:szCs w:val="20"/>
              </w:rPr>
              <w:t>襄阳坤隆建材科技有限公司</w:t>
            </w:r>
            <w:bookmarkEnd w:id="1"/>
            <w:r>
              <w:rPr>
                <w:rFonts w:hint="eastAsia" w:ascii="宋体" w:hAnsi="宋体"/>
                <w:spacing w:val="20"/>
                <w:szCs w:val="21"/>
                <w:lang w:val="de-DE"/>
              </w:rPr>
              <w:t>于</w:t>
            </w:r>
            <w:r>
              <w:rPr>
                <w:rFonts w:ascii="宋体" w:hAnsi="宋体"/>
                <w:spacing w:val="20"/>
                <w:szCs w:val="21"/>
              </w:rPr>
              <w:t>20</w:t>
            </w:r>
            <w:r>
              <w:rPr>
                <w:rFonts w:hint="eastAsia" w:ascii="宋体" w:hAnsi="宋体"/>
                <w:spacing w:val="20"/>
                <w:szCs w:val="21"/>
                <w:lang w:val="en-US" w:eastAsia="zh-CN"/>
              </w:rPr>
              <w:t>10</w:t>
            </w:r>
            <w:r>
              <w:rPr>
                <w:rFonts w:hint="eastAsia" w:ascii="宋体" w:hAnsi="宋体"/>
                <w:spacing w:val="20"/>
                <w:szCs w:val="21"/>
                <w:lang w:val="de-DE"/>
              </w:rPr>
              <w:t>年</w:t>
            </w:r>
            <w:r>
              <w:rPr>
                <w:rFonts w:hint="eastAsia" w:ascii="宋体" w:hAnsi="宋体"/>
                <w:spacing w:val="20"/>
                <w:szCs w:val="21"/>
                <w:lang w:val="en-US" w:eastAsia="zh-CN"/>
              </w:rPr>
              <w:t>7月</w:t>
            </w:r>
            <w:r>
              <w:rPr>
                <w:rFonts w:hint="eastAsia" w:ascii="宋体" w:hAnsi="宋体"/>
                <w:spacing w:val="20"/>
                <w:szCs w:val="21"/>
                <w:lang w:val="de-DE"/>
              </w:rPr>
              <w:t>注册成立。是一家管理现代化、设备现代化；</w:t>
            </w:r>
            <w:r>
              <w:rPr>
                <w:rFonts w:ascii="宋体" w:hAnsi="宋体"/>
                <w:b w:val="0"/>
                <w:bCs/>
                <w:color w:val="000000"/>
                <w:sz w:val="20"/>
                <w:szCs w:val="20"/>
              </w:rPr>
              <w:t>干混砂浆的生产及销售</w:t>
            </w:r>
            <w:r>
              <w:rPr>
                <w:rFonts w:hint="eastAsia" w:ascii="宋体" w:hAnsi="宋体"/>
                <w:spacing w:val="20"/>
                <w:szCs w:val="21"/>
                <w:lang w:val="de-DE"/>
              </w:rPr>
              <w:t>为一体的新兴民营企业，公司注册资金</w:t>
            </w:r>
            <w:r>
              <w:rPr>
                <w:rFonts w:hint="eastAsia" w:ascii="宋体" w:hAnsi="宋体"/>
                <w:spacing w:val="20"/>
                <w:szCs w:val="21"/>
                <w:lang w:val="en-US" w:eastAsia="zh-CN"/>
              </w:rPr>
              <w:t>10</w:t>
            </w:r>
            <w:r>
              <w:rPr>
                <w:rFonts w:ascii="宋体"/>
                <w:spacing w:val="20"/>
                <w:szCs w:val="21"/>
                <w:lang w:val="de-DE"/>
              </w:rPr>
              <w:t>00</w:t>
            </w:r>
            <w:r>
              <w:rPr>
                <w:rFonts w:hint="eastAsia" w:ascii="宋体" w:hAnsi="宋体"/>
                <w:spacing w:val="20"/>
                <w:szCs w:val="21"/>
                <w:lang w:val="de-DE"/>
              </w:rPr>
              <w:t>万元</w:t>
            </w:r>
            <w:r>
              <w:rPr>
                <w:rFonts w:ascii="宋体" w:hAnsi="宋体"/>
                <w:spacing w:val="20"/>
                <w:szCs w:val="21"/>
              </w:rPr>
              <w:t>;</w:t>
            </w:r>
            <w:r>
              <w:rPr>
                <w:rFonts w:hint="eastAsia" w:ascii="宋体" w:hAnsi="宋体"/>
                <w:spacing w:val="20"/>
                <w:szCs w:val="21"/>
                <w:lang w:val="de-DE"/>
              </w:rPr>
              <w:t>注册地位于</w:t>
            </w:r>
            <w:bookmarkStart w:id="2" w:name="注册地址"/>
            <w:r>
              <w:t>襄阳市襄州区古驿镇外沟村（红林铺小学内）</w:t>
            </w:r>
            <w:bookmarkEnd w:id="2"/>
            <w:r>
              <w:rPr>
                <w:rFonts w:hint="eastAsia" w:ascii="宋体" w:hAnsi="宋体"/>
                <w:spacing w:val="20"/>
                <w:szCs w:val="21"/>
                <w:lang w:val="de-DE"/>
              </w:rPr>
              <w:t>，占地面积</w:t>
            </w:r>
            <w:r>
              <w:rPr>
                <w:rFonts w:hint="eastAsia" w:ascii="宋体" w:hAnsi="宋体"/>
                <w:spacing w:val="20"/>
                <w:szCs w:val="21"/>
                <w:lang w:val="en-US" w:eastAsia="zh-CN"/>
              </w:rPr>
              <w:t>30多亩</w:t>
            </w:r>
            <w:r>
              <w:rPr>
                <w:rFonts w:hint="eastAsia" w:ascii="宋体" w:hAnsi="宋体"/>
                <w:spacing w:val="20"/>
                <w:szCs w:val="21"/>
                <w:lang w:val="de-DE"/>
              </w:rPr>
              <w:t>，</w:t>
            </w:r>
            <w:r>
              <w:rPr>
                <w:rFonts w:hint="eastAsia" w:ascii="宋体" w:hAnsi="宋体"/>
                <w:szCs w:val="21"/>
              </w:rPr>
              <w:t>具备二阶段审核的条件</w:t>
            </w:r>
            <w:r>
              <w:rPr>
                <w:rFonts w:hint="eastAsia" w:ascii="宋体" w:hAnsi="宋体"/>
                <w:szCs w:val="21"/>
                <w:lang w:eastAsia="zh-CN"/>
              </w:rPr>
              <w:t>。</w:t>
            </w:r>
          </w:p>
        </w:tc>
        <w:tc>
          <w:tcPr>
            <w:tcW w:w="993" w:type="dxa"/>
          </w:tcPr>
          <w:p/>
        </w:tc>
      </w:tr>
    </w:tbl>
    <w:p/>
    <w:p>
      <w:pPr>
        <w:pStyle w:val="3"/>
      </w:pPr>
      <w:r>
        <w:rPr>
          <w:rFonts w:hint="eastAsia"/>
        </w:rPr>
        <w:t>说明：不符合标注</w:t>
      </w:r>
      <w:r>
        <w:t>N</w:t>
      </w:r>
    </w:p>
    <w:p>
      <w:pPr>
        <w:pStyle w:val="3"/>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235A9"/>
    <w:multiLevelType w:val="singleLevel"/>
    <w:tmpl w:val="335235A9"/>
    <w:lvl w:ilvl="0" w:tentative="0">
      <w:start w:val="1"/>
      <w:numFmt w:val="decimal"/>
      <w:lvlText w:val="%1."/>
      <w:lvlJc w:val="left"/>
      <w:pPr>
        <w:tabs>
          <w:tab w:val="left" w:pos="312"/>
        </w:tabs>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001E69"/>
    <w:rsid w:val="365777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99"/>
    <w:rPr>
      <w:rFonts w:cs="Times New Roman"/>
      <w:b/>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2021-05-31T15:27:53Z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A651D6AD54104C2696B1F9417049FF5D</vt:lpwstr>
  </property>
</Properties>
</file>