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6" w:name="_GoBack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襄阳匠筑砂浆有限公司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邱锋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原材料预处理：干燥、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破碎、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筛分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配料，计量称重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----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均匀混料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包装，散装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运输（至需方指定地点）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Lines="50" w:line="240" w:lineRule="auto"/>
              <w:ind w:firstLine="420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查到《重要环境因素清单》已识别重要环境因素包括：粉尘的排放、噪声的排放，明确的控制措施和责任部门，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提供《不可接受风险清单》有：职业病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高空坠落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触电、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，并制定有控制措施。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安全生产法、环境保护法、湖北省安全、环保、消防相关规定，GB/T25181-2019预拌砂浆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邱锋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2021.5.27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bookmarkEnd w:id="6"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29B2428"/>
    <w:rsid w:val="5DAA2A4E"/>
    <w:rsid w:val="6ABB6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2021-07-05T07:35:21Z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4523350744BD47CF897F1B139549EF96</vt:lpwstr>
  </property>
</Properties>
</file>