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themeColor="text1"/>
          <w:sz w:val="32"/>
          <w:szCs w:val="32"/>
        </w:rPr>
        <w:t>北京博宇汽车服务有限公司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pStyle w:val="2"/>
        <w:rPr>
          <w:rFonts w:ascii="楷体" w:hAnsi="楷体" w:eastAsia="楷体"/>
          <w:b/>
          <w:color w:val="000000"/>
          <w:sz w:val="32"/>
          <w:szCs w:val="32"/>
        </w:rPr>
      </w:pPr>
    </w:p>
    <w:p>
      <w:pPr>
        <w:pStyle w:val="2"/>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2021-N1QMS-4014142</w:t>
            </w:r>
          </w:p>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O:35.16.03</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李雅静</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2019-N1QMS-1218164</w:t>
            </w:r>
          </w:p>
          <w:p>
            <w:pPr>
              <w:jc w:val="center"/>
              <w:rPr>
                <w:b/>
                <w:sz w:val="21"/>
                <w:szCs w:val="21"/>
              </w:rPr>
            </w:pPr>
            <w:r>
              <w:rPr>
                <w:b/>
                <w:sz w:val="21"/>
                <w:szCs w:val="21"/>
              </w:rPr>
              <w:t>2020-N1EMS-1218164</w:t>
            </w:r>
          </w:p>
          <w:p>
            <w:pPr>
              <w:jc w:val="center"/>
              <w:rPr>
                <w:b/>
                <w:sz w:val="21"/>
                <w:szCs w:val="21"/>
              </w:rPr>
            </w:pPr>
            <w:r>
              <w:rPr>
                <w:b/>
                <w:sz w:val="21"/>
                <w:szCs w:val="21"/>
              </w:rPr>
              <w:t>2019-N1OHSMS-1218164</w:t>
            </w:r>
          </w:p>
        </w:tc>
        <w:tc>
          <w:tcPr>
            <w:tcW w:w="1728" w:type="dxa"/>
            <w:gridSpan w:val="2"/>
            <w:vAlign w:val="center"/>
          </w:tcPr>
          <w:p>
            <w:pPr>
              <w:jc w:val="center"/>
              <w:rPr>
                <w:b/>
                <w:sz w:val="21"/>
                <w:szCs w:val="21"/>
              </w:rPr>
            </w:pPr>
            <w:r>
              <w:rPr>
                <w:b/>
                <w:sz w:val="21"/>
                <w:szCs w:val="21"/>
              </w:rPr>
              <w:t>O:35.16.03</w:t>
            </w:r>
          </w:p>
        </w:tc>
        <w:tc>
          <w:tcPr>
            <w:tcW w:w="1729" w:type="dxa"/>
            <w:gridSpan w:val="2"/>
            <w:vAlign w:val="center"/>
          </w:tcPr>
          <w:p>
            <w:pPr>
              <w:jc w:val="center"/>
              <w:rPr>
                <w:b/>
                <w:sz w:val="21"/>
                <w:szCs w:val="21"/>
              </w:rPr>
            </w:pPr>
            <w:r>
              <w:rPr>
                <w:b/>
                <w:sz w:val="21"/>
                <w:szCs w:val="21"/>
              </w:rPr>
              <w:t>ISC-218164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李桐</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Q:专家</w:t>
            </w:r>
          </w:p>
          <w:p>
            <w:pPr>
              <w:jc w:val="center"/>
              <w:rPr>
                <w:b/>
                <w:sz w:val="21"/>
                <w:szCs w:val="21"/>
              </w:rPr>
            </w:pPr>
            <w:r>
              <w:rPr>
                <w:b/>
                <w:sz w:val="21"/>
                <w:szCs w:val="21"/>
              </w:rPr>
              <w:t>E:专家</w:t>
            </w:r>
          </w:p>
          <w:p>
            <w:pPr>
              <w:jc w:val="center"/>
              <w:rPr>
                <w:b/>
                <w:sz w:val="21"/>
                <w:szCs w:val="21"/>
              </w:rPr>
            </w:pPr>
            <w:r>
              <w:rPr>
                <w:b/>
                <w:sz w:val="21"/>
                <w:szCs w:val="21"/>
              </w:rPr>
              <w:t>O:专家</w:t>
            </w:r>
          </w:p>
          <w:p>
            <w:pPr>
              <w:jc w:val="center"/>
              <w:rPr>
                <w:b/>
                <w:sz w:val="21"/>
                <w:szCs w:val="21"/>
              </w:rPr>
            </w:pPr>
          </w:p>
        </w:tc>
        <w:tc>
          <w:tcPr>
            <w:tcW w:w="1699" w:type="dxa"/>
            <w:vAlign w:val="center"/>
          </w:tcPr>
          <w:p>
            <w:pPr>
              <w:jc w:val="center"/>
              <w:rPr>
                <w:b/>
                <w:sz w:val="21"/>
                <w:szCs w:val="21"/>
              </w:rPr>
            </w:pPr>
            <w:r>
              <w:rPr>
                <w:b/>
                <w:sz w:val="21"/>
                <w:szCs w:val="21"/>
              </w:rPr>
              <w:t>北京华宇辉煌生态环保科技股份有限公司</w:t>
            </w:r>
          </w:p>
        </w:tc>
        <w:tc>
          <w:tcPr>
            <w:tcW w:w="1728" w:type="dxa"/>
            <w:gridSpan w:val="2"/>
            <w:vAlign w:val="center"/>
          </w:tcPr>
          <w:p>
            <w:pPr>
              <w:jc w:val="center"/>
              <w:rPr>
                <w:b/>
                <w:sz w:val="21"/>
                <w:szCs w:val="21"/>
              </w:rPr>
            </w:pPr>
            <w:r>
              <w:rPr>
                <w:b/>
                <w:sz w:val="21"/>
                <w:szCs w:val="21"/>
              </w:rPr>
              <w:t>Q:29.02.00,31.04.01,35.16.03,39.02.01</w:t>
            </w:r>
          </w:p>
          <w:p>
            <w:pPr>
              <w:jc w:val="center"/>
              <w:rPr>
                <w:b/>
                <w:sz w:val="21"/>
                <w:szCs w:val="21"/>
              </w:rPr>
            </w:pPr>
            <w:r>
              <w:rPr>
                <w:b/>
                <w:sz w:val="21"/>
                <w:szCs w:val="21"/>
              </w:rPr>
              <w:t>E:29.02.00,31.04.01,35.16.03,39.02.01</w:t>
            </w:r>
          </w:p>
          <w:p>
            <w:pPr>
              <w:jc w:val="center"/>
              <w:rPr>
                <w:b/>
                <w:sz w:val="21"/>
                <w:szCs w:val="21"/>
              </w:rPr>
            </w:pPr>
            <w:r>
              <w:rPr>
                <w:b/>
                <w:sz w:val="21"/>
                <w:szCs w:val="21"/>
              </w:rPr>
              <w:t>O:29.02.00,31.04.01,35.16.03,39.02.01</w:t>
            </w:r>
          </w:p>
        </w:tc>
        <w:tc>
          <w:tcPr>
            <w:tcW w:w="1729" w:type="dxa"/>
            <w:gridSpan w:val="2"/>
            <w:vAlign w:val="center"/>
          </w:tcPr>
          <w:p>
            <w:pPr>
              <w:jc w:val="center"/>
              <w:rPr>
                <w:b/>
                <w:sz w:val="21"/>
                <w:szCs w:val="21"/>
              </w:rPr>
            </w:pPr>
            <w:r>
              <w:rPr>
                <w:b/>
                <w:sz w:val="21"/>
                <w:szCs w:val="21"/>
              </w:rPr>
              <w:t>ISC-JSZJ-101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color w:val="FF0000"/>
                <w:sz w:val="21"/>
              </w:rPr>
              <w:t>北京博宇汽车服务有限公司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北京市房山区城关街道马各庄村东</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102400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生产地址"/>
            <w:r>
              <w:rPr>
                <w:rFonts w:ascii="宋体"/>
                <w:b/>
                <w:sz w:val="21"/>
              </w:rPr>
              <w:t>北京市房山区城关街道马各庄村东</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102400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北京市房山区城关街道马各庄村东</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102400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刘逍迎</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13331139484</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宋臣</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宋福亮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2021年06月20日 上午至2021年06月21日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rPr>
            </w:pPr>
            <w:bookmarkStart w:id="24" w:name="审核范围"/>
            <w:r>
              <w:rPr>
                <w:rFonts w:hint="eastAsia" w:ascii="宋体" w:hAnsi="宋体"/>
              </w:rPr>
              <w:t>Q：资质许可范围内的普通货运，城市生活垃圾清扫、收集、运输，二类汽车维修（大中型客车维修、小型车维修、大型货车维修）</w:t>
            </w:r>
          </w:p>
          <w:p>
            <w:pPr>
              <w:spacing w:line="0" w:lineRule="atLeast"/>
              <w:jc w:val="left"/>
              <w:rPr>
                <w:rFonts w:hint="eastAsia" w:ascii="宋体" w:hAnsi="宋体"/>
              </w:rPr>
            </w:pPr>
            <w:r>
              <w:rPr>
                <w:rFonts w:hint="eastAsia" w:ascii="宋体" w:hAnsi="宋体"/>
              </w:rPr>
              <w:t>E：资质许可范围内的普通货运，城市生活垃圾清扫、收集、运输，二类汽车维修（大中型客车维修、小型车维修、大型货车维修）及其场所所涉及的环境管理活动</w:t>
            </w:r>
          </w:p>
          <w:p>
            <w:pPr>
              <w:spacing w:line="360" w:lineRule="exact"/>
              <w:rPr>
                <w:rFonts w:ascii="宋体" w:hAnsi="宋体"/>
                <w:b/>
                <w:sz w:val="21"/>
                <w:szCs w:val="21"/>
              </w:rPr>
            </w:pPr>
            <w:r>
              <w:rPr>
                <w:rFonts w:hint="eastAsia" w:ascii="宋体" w:hAnsi="宋体"/>
              </w:rPr>
              <w:t>O：资质许可范围内的普通货运，城市生活垃圾清扫、收集、运输，二类汽车维修（大中型客车维修、小型车维修、大型货车维修）及其场所所涉及的职业健康安全管理活动</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5" w:name="专业代码"/>
            <w:r>
              <w:rPr>
                <w:rFonts w:ascii="宋体" w:hAnsi="宋体"/>
                <w:b/>
                <w:sz w:val="21"/>
                <w:szCs w:val="21"/>
              </w:rPr>
              <w:t>Q：29.02.00;31.04.01;35.16.03;39.02.01</w:t>
            </w:r>
          </w:p>
          <w:p>
            <w:pPr>
              <w:spacing w:line="260" w:lineRule="exact"/>
              <w:rPr>
                <w:rFonts w:ascii="宋体" w:hAnsi="宋体"/>
                <w:b/>
                <w:sz w:val="21"/>
                <w:szCs w:val="21"/>
              </w:rPr>
            </w:pPr>
            <w:r>
              <w:rPr>
                <w:rFonts w:ascii="宋体" w:hAnsi="宋体"/>
                <w:b/>
                <w:sz w:val="21"/>
                <w:szCs w:val="21"/>
              </w:rPr>
              <w:t>E：29.02.00;31.04.01;35.16.03;39.02.01</w:t>
            </w:r>
          </w:p>
          <w:p>
            <w:pPr>
              <w:spacing w:line="260" w:lineRule="exact"/>
              <w:rPr>
                <w:rFonts w:ascii="宋体" w:hAnsi="宋体"/>
                <w:b/>
                <w:sz w:val="21"/>
                <w:szCs w:val="21"/>
              </w:rPr>
            </w:pPr>
            <w:r>
              <w:rPr>
                <w:rFonts w:ascii="宋体" w:hAnsi="宋体"/>
                <w:b/>
                <w:sz w:val="21"/>
                <w:szCs w:val="21"/>
              </w:rPr>
              <w:t>O：29.02.00;31.04.01;35.16.03;39.02.01</w:t>
            </w:r>
            <w:bookmarkEnd w:id="25"/>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p>
          <w:p>
            <w:pPr>
              <w:spacing w:line="260" w:lineRule="exact"/>
              <w:rPr>
                <w:rFonts w:hint="eastAsia" w:ascii="宋体" w:hAnsi="宋体"/>
                <w:b/>
                <w:sz w:val="21"/>
                <w:szCs w:val="21"/>
                <w:lang w:val="en-US" w:eastAsia="zh-CN"/>
              </w:rPr>
            </w:pPr>
          </w:p>
          <w:p>
            <w:pPr>
              <w:spacing w:line="260" w:lineRule="exact"/>
              <w:rPr>
                <w:rFonts w:hint="eastAsia" w:ascii="宋体" w:hAnsi="宋体"/>
                <w:b/>
                <w:sz w:val="21"/>
                <w:szCs w:val="21"/>
                <w:lang w:val="en-US" w:eastAsia="zh-CN"/>
              </w:rPr>
            </w:pPr>
          </w:p>
          <w:p>
            <w:pPr>
              <w:spacing w:line="260" w:lineRule="exact"/>
              <w:rPr>
                <w:rFonts w:hint="eastAsia" w:ascii="宋体" w:hAnsi="宋体"/>
                <w:b/>
                <w:sz w:val="21"/>
                <w:szCs w:val="21"/>
                <w:lang w:val="en-US" w:eastAsia="zh-CN"/>
              </w:rPr>
            </w:pPr>
          </w:p>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2023-4-22</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eastAsia" w:ascii="宋体" w:hAnsi="宋体" w:eastAsia="宋体" w:cs="Times New Roman"/>
                <w:b/>
                <w:sz w:val="21"/>
                <w:szCs w:val="21"/>
                <w:lang w:val="en-US" w:eastAsia="zh-CN"/>
              </w:rPr>
            </w:pPr>
          </w:p>
          <w:p>
            <w:pPr>
              <w:spacing w:line="260" w:lineRule="exact"/>
              <w:rPr>
                <w:rFonts w:hint="eastAsia" w:ascii="宋体" w:hAnsi="宋体" w:eastAsia="宋体" w:cs="Times New Roman"/>
                <w:b/>
                <w:sz w:val="21"/>
                <w:szCs w:val="21"/>
                <w:lang w:val="en-US" w:eastAsia="zh-CN"/>
              </w:rPr>
            </w:pPr>
          </w:p>
          <w:p>
            <w:pPr>
              <w:spacing w:line="260" w:lineRule="exact"/>
              <w:rPr>
                <w:rFonts w:hint="eastAsia" w:ascii="宋体" w:hAnsi="宋体" w:eastAsia="宋体" w:cs="Times New Roman"/>
                <w:b/>
                <w:sz w:val="21"/>
                <w:szCs w:val="21"/>
                <w:lang w:val="en-US" w:eastAsia="zh-CN"/>
              </w:rPr>
            </w:pPr>
          </w:p>
          <w:p>
            <w:pPr>
              <w:spacing w:line="260" w:lineRule="exact"/>
              <w:rPr>
                <w:rFonts w:hint="eastAsia" w:ascii="宋体" w:hAnsi="宋体" w:eastAsia="宋体" w:cs="Times New Roman"/>
                <w:b/>
                <w:sz w:val="21"/>
                <w:szCs w:val="21"/>
                <w:lang w:val="en-US" w:eastAsia="zh-CN"/>
              </w:rPr>
            </w:pPr>
          </w:p>
          <w:p>
            <w:pPr>
              <w:spacing w:line="260" w:lineRule="exact"/>
              <w:rPr>
                <w:rFonts w:ascii="宋体"/>
                <w:b/>
                <w:sz w:val="21"/>
              </w:rPr>
            </w:pPr>
            <w:r>
              <w:rPr>
                <w:rFonts w:hint="eastAsia" w:ascii="宋体" w:hAnsi="宋体" w:eastAsia="宋体" w:cs="Times New Roman"/>
                <w:b/>
                <w:sz w:val="21"/>
                <w:szCs w:val="21"/>
                <w:lang w:val="en-US" w:eastAsia="zh-CN"/>
              </w:rPr>
              <w:t>2020-12-22 -- 2020-12-23</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23</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21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rPr>
                <w:rFonts w:hint="eastAsia" w:ascii="Times New Roman" w:hAnsi="Times New Roman" w:cs="Times New Roman"/>
                <w:lang w:val="en-US" w:eastAsia="zh-CN"/>
              </w:rPr>
            </w:pPr>
            <w:r>
              <w:rPr>
                <w:rFonts w:hint="eastAsia" w:ascii="Times New Roman" w:hAnsi="Times New Roman" w:cs="Times New Roman"/>
              </w:rPr>
              <w:t>营业执照：北京博宇汽车服务有限公司，</w:t>
            </w:r>
            <w:r>
              <w:rPr>
                <w:rFonts w:hint="eastAsia" w:ascii="Times New Roman" w:hAnsi="Times New Roman" w:cs="Times New Roman"/>
                <w:lang w:val="en-US" w:eastAsia="zh-CN"/>
              </w:rPr>
              <w:t xml:space="preserve"> 成立于：2007年06月11日，注册资金：510万(元) </w:t>
            </w:r>
          </w:p>
          <w:p>
            <w:r>
              <w:rPr>
                <w:rFonts w:hint="eastAsia" w:ascii="Times New Roman" w:hAnsi="Times New Roman" w:cs="Times New Roman"/>
              </w:rPr>
              <w:t>注册</w:t>
            </w:r>
            <w:r>
              <w:rPr>
                <w:rFonts w:hint="eastAsia" w:ascii="Times New Roman" w:hAnsi="Times New Roman" w:cs="Times New Roman"/>
                <w:lang w:val="en-US" w:eastAsia="zh-CN"/>
              </w:rPr>
              <w:t>及经营</w:t>
            </w:r>
            <w:r>
              <w:rPr>
                <w:rFonts w:hint="eastAsia" w:ascii="Times New Roman" w:hAnsi="Times New Roman" w:cs="Times New Roman"/>
              </w:rPr>
              <w:t>地址：</w:t>
            </w:r>
            <w:r>
              <w:rPr>
                <w:rFonts w:ascii="Times New Roman" w:hAnsi="Times New Roman" w:cs="Times New Roman"/>
              </w:rPr>
              <w:t>北京市房山区城关街道马各庄</w:t>
            </w:r>
            <w:r>
              <w:t>村东</w:t>
            </w:r>
          </w:p>
          <w:p>
            <w:pPr>
              <w:rPr>
                <w:rFonts w:ascii="宋体" w:hAnsi="宋体"/>
                <w:color w:val="000000"/>
                <w:szCs w:val="21"/>
              </w:rPr>
            </w:pPr>
            <w:r>
              <w:rPr>
                <w:rFonts w:hint="eastAsia" w:ascii="宋体" w:hAnsi="宋体"/>
                <w:color w:val="000000"/>
                <w:szCs w:val="21"/>
              </w:rPr>
              <w:t>统一社会信用代码：91110111L1844637XY；  经营期限：2014-03-14 至 2044-03-13。</w:t>
            </w:r>
          </w:p>
          <w:p>
            <w:pP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pStyle w:val="2"/>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公司每年办公室根据由公司办公、销售服务等人员从市场、客户、网络等搜集到的信息并结合公司自身业务运作情况进行分析，通过分析对这些内部和外部因素的相关信息进行监视和评审以确保其</w:t>
            </w:r>
            <w:r>
              <w:rPr>
                <w:rFonts w:hint="eastAsia" w:ascii="Times New Roman" w:hAnsi="Times New Roman" w:eastAsia="宋体" w:cs="Times New Roman"/>
                <w:bCs w:val="0"/>
                <w:spacing w:val="0"/>
                <w:kern w:val="2"/>
                <w:sz w:val="21"/>
                <w:szCs w:val="24"/>
                <w:lang w:val="en-US" w:eastAsia="zh-CN" w:bidi="ar-SA"/>
              </w:rPr>
              <w:t>充分和适宜。</w:t>
            </w:r>
          </w:p>
          <w:p>
            <w:pPr>
              <w:pStyle w:val="2"/>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提供有企业营业执照：见附件</w:t>
            </w:r>
          </w:p>
          <w:p>
            <w:pPr>
              <w:pStyle w:val="2"/>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提供相关资质：</w:t>
            </w:r>
          </w:p>
          <w:p>
            <w:pPr>
              <w:pStyle w:val="2"/>
              <w:rPr>
                <w:rFonts w:hint="default" w:ascii="Times New Roman" w:hAnsi="Times New Roman" w:eastAsia="宋体" w:cs="Times New Roman"/>
                <w:bCs w:val="0"/>
                <w:spacing w:val="0"/>
                <w:kern w:val="2"/>
                <w:sz w:val="21"/>
                <w:szCs w:val="24"/>
                <w:lang w:val="en-US" w:eastAsia="zh-CN" w:bidi="ar-SA"/>
              </w:rPr>
            </w:pPr>
            <w:r>
              <w:rPr>
                <w:rFonts w:hint="default" w:ascii="Times New Roman" w:hAnsi="Times New Roman" w:eastAsia="宋体" w:cs="Times New Roman"/>
                <w:bCs w:val="0"/>
                <w:spacing w:val="0"/>
                <w:kern w:val="2"/>
                <w:sz w:val="21"/>
                <w:szCs w:val="24"/>
                <w:lang w:val="en-US" w:eastAsia="zh-CN" w:bidi="ar-SA"/>
              </w:rPr>
              <w:t>①房山区环保局-环评批复</w:t>
            </w:r>
          </w:p>
          <w:p>
            <w:pPr>
              <w:pStyle w:val="2"/>
              <w:rPr>
                <w:rFonts w:hint="default" w:ascii="Times New Roman" w:hAnsi="Times New Roman" w:eastAsia="宋体" w:cs="Times New Roman"/>
                <w:bCs w:val="0"/>
                <w:spacing w:val="0"/>
                <w:kern w:val="2"/>
                <w:sz w:val="21"/>
                <w:szCs w:val="24"/>
                <w:lang w:val="en-US" w:eastAsia="zh-CN" w:bidi="ar-SA"/>
              </w:rPr>
            </w:pPr>
            <w:r>
              <w:rPr>
                <w:rFonts w:hint="default" w:ascii="Times New Roman" w:hAnsi="Times New Roman" w:eastAsia="宋体" w:cs="Times New Roman"/>
                <w:bCs w:val="0"/>
                <w:spacing w:val="0"/>
                <w:kern w:val="2"/>
                <w:sz w:val="21"/>
                <w:szCs w:val="24"/>
                <w:lang w:val="en-US" w:eastAsia="zh-CN" w:bidi="ar-SA"/>
              </w:rPr>
              <w:t>噪声、工业企业厂界噪声标准  （GB12348-90)中一类标准</w:t>
            </w:r>
          </w:p>
          <w:p>
            <w:pPr>
              <w:pStyle w:val="2"/>
              <w:rPr>
                <w:rFonts w:hint="default" w:ascii="Times New Roman" w:hAnsi="Times New Roman" w:eastAsia="宋体" w:cs="Times New Roman"/>
                <w:bCs w:val="0"/>
                <w:spacing w:val="0"/>
                <w:kern w:val="2"/>
                <w:sz w:val="21"/>
                <w:szCs w:val="24"/>
                <w:lang w:val="en-US" w:eastAsia="zh-CN" w:bidi="ar-SA"/>
              </w:rPr>
            </w:pPr>
            <w:r>
              <w:rPr>
                <w:rFonts w:hint="default" w:ascii="Times New Roman" w:hAnsi="Times New Roman" w:eastAsia="宋体" w:cs="Times New Roman"/>
                <w:bCs w:val="0"/>
                <w:spacing w:val="0"/>
                <w:kern w:val="2"/>
                <w:sz w:val="21"/>
                <w:szCs w:val="24"/>
                <w:lang w:val="en-US" w:eastAsia="zh-CN" w:bidi="ar-SA"/>
              </w:rPr>
              <w:t>危废（废旧机油）</w:t>
            </w:r>
          </w:p>
          <w:p>
            <w:pPr>
              <w:pStyle w:val="2"/>
              <w:rPr>
                <w:rFonts w:hint="default" w:ascii="Times New Roman" w:hAnsi="Times New Roman" w:eastAsia="宋体" w:cs="Times New Roman"/>
                <w:bCs w:val="0"/>
                <w:spacing w:val="0"/>
                <w:kern w:val="2"/>
                <w:sz w:val="21"/>
                <w:szCs w:val="24"/>
                <w:lang w:val="en-US" w:eastAsia="zh-CN" w:bidi="ar-SA"/>
              </w:rPr>
            </w:pPr>
            <w:r>
              <w:rPr>
                <w:rFonts w:hint="default" w:ascii="Times New Roman" w:hAnsi="Times New Roman" w:eastAsia="宋体" w:cs="Times New Roman"/>
                <w:bCs w:val="0"/>
                <w:spacing w:val="0"/>
                <w:kern w:val="2"/>
                <w:sz w:val="21"/>
                <w:szCs w:val="24"/>
                <w:lang w:val="en-US" w:eastAsia="zh-CN" w:bidi="ar-SA"/>
              </w:rPr>
              <w:t>固废  不得随意倾倒</w:t>
            </w:r>
          </w:p>
          <w:p>
            <w:pPr>
              <w:pStyle w:val="2"/>
              <w:rPr>
                <w:rFonts w:hint="default" w:ascii="Times New Roman" w:hAnsi="Times New Roman" w:eastAsia="宋体" w:cs="Times New Roman"/>
                <w:bCs w:val="0"/>
                <w:spacing w:val="0"/>
                <w:kern w:val="2"/>
                <w:sz w:val="21"/>
                <w:szCs w:val="24"/>
                <w:lang w:val="en-US" w:eastAsia="zh-CN" w:bidi="ar-SA"/>
              </w:rPr>
            </w:pPr>
            <w:r>
              <w:rPr>
                <w:rFonts w:hint="default" w:ascii="Times New Roman" w:hAnsi="Times New Roman" w:eastAsia="宋体" w:cs="Times New Roman"/>
                <w:bCs w:val="0"/>
                <w:spacing w:val="0"/>
                <w:kern w:val="2"/>
                <w:sz w:val="21"/>
                <w:szCs w:val="24"/>
                <w:lang w:val="en-US" w:eastAsia="zh-CN" w:bidi="ar-SA"/>
              </w:rPr>
              <w:t>禁止洗车</w:t>
            </w:r>
          </w:p>
          <w:p>
            <w:pPr>
              <w:pStyle w:val="2"/>
              <w:rPr>
                <w:rFonts w:hint="default" w:ascii="Times New Roman" w:hAnsi="Times New Roman" w:eastAsia="宋体" w:cs="Times New Roman"/>
                <w:bCs w:val="0"/>
                <w:spacing w:val="0"/>
                <w:kern w:val="2"/>
                <w:sz w:val="21"/>
                <w:szCs w:val="24"/>
                <w:lang w:val="en-US" w:eastAsia="zh-CN" w:bidi="ar-SA"/>
              </w:rPr>
            </w:pPr>
            <w:r>
              <w:rPr>
                <w:rFonts w:hint="default" w:ascii="Times New Roman" w:hAnsi="Times New Roman" w:eastAsia="宋体" w:cs="Times New Roman"/>
                <w:bCs w:val="0"/>
                <w:spacing w:val="0"/>
                <w:kern w:val="2"/>
                <w:sz w:val="21"/>
                <w:szCs w:val="24"/>
                <w:lang w:val="en-US" w:eastAsia="zh-CN" w:bidi="ar-SA"/>
              </w:rPr>
              <w:t>②生活垃圾经营运输许可</w:t>
            </w:r>
          </w:p>
          <w:p>
            <w:pPr>
              <w:pStyle w:val="2"/>
              <w:rPr>
                <w:rFonts w:hint="default" w:ascii="Times New Roman" w:hAnsi="Times New Roman" w:eastAsia="宋体" w:cs="Times New Roman"/>
                <w:bCs w:val="0"/>
                <w:spacing w:val="0"/>
                <w:kern w:val="2"/>
                <w:sz w:val="21"/>
                <w:szCs w:val="24"/>
                <w:lang w:val="en-US" w:eastAsia="zh-CN" w:bidi="ar-SA"/>
              </w:rPr>
            </w:pPr>
            <w:r>
              <w:rPr>
                <w:rFonts w:hint="default" w:ascii="Times New Roman" w:hAnsi="Times New Roman" w:eastAsia="宋体" w:cs="Times New Roman"/>
                <w:bCs w:val="0"/>
                <w:spacing w:val="0"/>
                <w:kern w:val="2"/>
                <w:sz w:val="21"/>
                <w:szCs w:val="24"/>
                <w:lang w:val="en-US" w:eastAsia="zh-CN" w:bidi="ar-SA"/>
              </w:rPr>
              <w:t>从事生活垃圾（建筑垃圾、土方、沙石）经营性运输服务行政许可   2014年9月28日</w:t>
            </w:r>
          </w:p>
          <w:p>
            <w:pPr>
              <w:pStyle w:val="2"/>
              <w:rPr>
                <w:rFonts w:hint="default" w:ascii="Times New Roman" w:hAnsi="Times New Roman" w:eastAsia="宋体" w:cs="Times New Roman"/>
                <w:bCs w:val="0"/>
                <w:spacing w:val="0"/>
                <w:kern w:val="2"/>
                <w:sz w:val="21"/>
                <w:szCs w:val="24"/>
                <w:lang w:val="en-US" w:eastAsia="zh-CN" w:bidi="ar-SA"/>
              </w:rPr>
            </w:pPr>
            <w:r>
              <w:rPr>
                <w:rFonts w:hint="default" w:ascii="Times New Roman" w:hAnsi="Times New Roman" w:eastAsia="宋体" w:cs="Times New Roman"/>
                <w:bCs w:val="0"/>
                <w:spacing w:val="0"/>
                <w:kern w:val="2"/>
                <w:sz w:val="21"/>
                <w:szCs w:val="24"/>
                <w:lang w:val="en-US" w:eastAsia="zh-CN" w:bidi="ar-SA"/>
              </w:rPr>
              <w:t>③从事生活垃圾经营性收集、运输服务  2015年12月24日</w:t>
            </w:r>
          </w:p>
          <w:p>
            <w:pPr>
              <w:pStyle w:val="2"/>
              <w:rPr>
                <w:rFonts w:hint="default" w:ascii="Times New Roman" w:hAnsi="Times New Roman" w:eastAsia="宋体" w:cs="Times New Roman"/>
                <w:bCs w:val="0"/>
                <w:spacing w:val="0"/>
                <w:kern w:val="2"/>
                <w:sz w:val="21"/>
                <w:szCs w:val="24"/>
                <w:lang w:val="en-US" w:eastAsia="zh-CN" w:bidi="ar-SA"/>
              </w:rPr>
            </w:pPr>
            <w:r>
              <w:rPr>
                <w:rFonts w:hint="default" w:ascii="Times New Roman" w:hAnsi="Times New Roman" w:eastAsia="宋体" w:cs="Times New Roman"/>
                <w:bCs w:val="0"/>
                <w:spacing w:val="0"/>
                <w:kern w:val="2"/>
                <w:sz w:val="21"/>
                <w:szCs w:val="24"/>
                <w:lang w:val="en-US" w:eastAsia="zh-CN" w:bidi="ar-SA"/>
              </w:rPr>
              <w:t xml:space="preserve"> ④ 北京市房山交通局  机动车维修经营备案 </w:t>
            </w:r>
            <w:r>
              <w:rPr>
                <w:rFonts w:hint="eastAsia" w:ascii="Times New Roman" w:hAnsi="Times New Roman" w:eastAsia="宋体" w:cs="Times New Roman"/>
                <w:bCs w:val="0"/>
                <w:spacing w:val="0"/>
                <w:kern w:val="2"/>
                <w:sz w:val="21"/>
                <w:szCs w:val="24"/>
                <w:lang w:val="en-US" w:eastAsia="zh-CN" w:bidi="ar-SA"/>
              </w:rPr>
              <w:t>（二类汽车维修）</w:t>
            </w:r>
            <w:r>
              <w:rPr>
                <w:rFonts w:hint="default" w:ascii="Times New Roman" w:hAnsi="Times New Roman" w:eastAsia="宋体" w:cs="Times New Roman"/>
                <w:bCs w:val="0"/>
                <w:spacing w:val="0"/>
                <w:kern w:val="2"/>
                <w:sz w:val="21"/>
                <w:szCs w:val="24"/>
                <w:lang w:val="en-US" w:eastAsia="zh-CN" w:bidi="ar-SA"/>
              </w:rPr>
              <w:t xml:space="preserve"> </w:t>
            </w:r>
          </w:p>
          <w:p>
            <w:pPr>
              <w:pStyle w:val="2"/>
              <w:rPr>
                <w:rFonts w:hint="default" w:ascii="Times New Roman" w:hAnsi="Times New Roman" w:eastAsia="宋体" w:cs="Times New Roman"/>
                <w:bCs w:val="0"/>
                <w:spacing w:val="0"/>
                <w:kern w:val="2"/>
                <w:sz w:val="21"/>
                <w:szCs w:val="24"/>
                <w:lang w:val="en-US" w:eastAsia="zh-CN" w:bidi="ar-SA"/>
              </w:rPr>
            </w:pPr>
            <w:r>
              <w:rPr>
                <w:rFonts w:hint="default" w:ascii="Times New Roman" w:hAnsi="Times New Roman" w:eastAsia="宋体" w:cs="Times New Roman"/>
                <w:bCs w:val="0"/>
                <w:spacing w:val="0"/>
                <w:kern w:val="2"/>
                <w:sz w:val="21"/>
                <w:szCs w:val="24"/>
                <w:lang w:val="en-US" w:eastAsia="zh-CN" w:bidi="ar-SA"/>
              </w:rPr>
              <w:t>被案号：修备110111100306 经营范围：二类汽车维修（大中型客车维修、小型车维修、大型货车维修）</w:t>
            </w:r>
          </w:p>
          <w:p>
            <w:pPr>
              <w:pStyle w:val="2"/>
              <w:rPr>
                <w:rFonts w:hint="default" w:ascii="Times New Roman" w:hAnsi="Times New Roman" w:eastAsia="宋体" w:cs="Times New Roman"/>
                <w:bCs w:val="0"/>
                <w:spacing w:val="0"/>
                <w:kern w:val="2"/>
                <w:sz w:val="21"/>
                <w:szCs w:val="24"/>
                <w:lang w:val="en-US" w:eastAsia="zh-CN" w:bidi="ar-SA"/>
              </w:rPr>
            </w:pPr>
            <w:r>
              <w:rPr>
                <w:rFonts w:hint="default" w:ascii="Times New Roman" w:hAnsi="Times New Roman" w:eastAsia="宋体" w:cs="Times New Roman"/>
                <w:bCs w:val="0"/>
                <w:spacing w:val="0"/>
                <w:kern w:val="2"/>
                <w:sz w:val="21"/>
                <w:szCs w:val="24"/>
                <w:lang w:val="en-US" w:eastAsia="zh-CN" w:bidi="ar-SA"/>
              </w:rPr>
              <w:t>申办时间：2019年10月15日</w:t>
            </w:r>
          </w:p>
          <w:p>
            <w:pPr>
              <w:pStyle w:val="2"/>
              <w:rPr>
                <w:rFonts w:hint="default" w:ascii="Times New Roman" w:hAnsi="Times New Roman" w:eastAsia="宋体" w:cs="Times New Roman"/>
                <w:bCs w:val="0"/>
                <w:spacing w:val="0"/>
                <w:kern w:val="2"/>
                <w:sz w:val="21"/>
                <w:szCs w:val="24"/>
                <w:lang w:val="en-US" w:eastAsia="zh-CN" w:bidi="ar-SA"/>
              </w:rPr>
            </w:pPr>
            <w:r>
              <w:rPr>
                <w:rFonts w:hint="default" w:ascii="Times New Roman" w:hAnsi="Times New Roman" w:eastAsia="宋体" w:cs="Times New Roman"/>
                <w:bCs w:val="0"/>
                <w:spacing w:val="0"/>
                <w:kern w:val="2"/>
                <w:sz w:val="21"/>
                <w:szCs w:val="24"/>
                <w:lang w:val="en-US" w:eastAsia="zh-CN" w:bidi="ar-SA"/>
              </w:rPr>
              <w:t>⑤道路运输经营许可证</w:t>
            </w:r>
          </w:p>
          <w:p>
            <w:pPr>
              <w:spacing w:line="240" w:lineRule="exact"/>
              <w:rPr>
                <w:rFonts w:ascii="宋体" w:hAnsi="宋体"/>
                <w:b/>
                <w:sz w:val="21"/>
                <w:szCs w:val="21"/>
              </w:rPr>
            </w:pPr>
            <w:r>
              <w:rPr>
                <w:rFonts w:hint="default" w:ascii="Times New Roman" w:hAnsi="Times New Roman" w:eastAsia="宋体" w:cs="Times New Roman"/>
                <w:bCs w:val="0"/>
                <w:spacing w:val="0"/>
                <w:kern w:val="2"/>
                <w:sz w:val="21"/>
                <w:szCs w:val="24"/>
                <w:lang w:val="en-US" w:eastAsia="zh-CN" w:bidi="ar-SA"/>
              </w:rPr>
              <w:t>编号： 京交运许可货字110111012624   有效期：2022.5.28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spacing w:line="240" w:lineRule="exact"/>
            </w:pPr>
            <w:r>
              <w:rPr>
                <w:rFonts w:hint="eastAsia" w:ascii="宋体" w:hAnsi="宋体"/>
                <w:b/>
                <w:sz w:val="21"/>
                <w:szCs w:val="21"/>
                <w:lang w:val="en-US" w:eastAsia="zh-CN"/>
              </w:rPr>
              <w:t>2</w:t>
            </w:r>
            <w:r>
              <w:rPr>
                <w:rFonts w:hint="eastAsia" w:ascii="宋体" w:hAnsi="宋体"/>
                <w:b/>
                <w:sz w:val="21"/>
                <w:szCs w:val="21"/>
              </w:rPr>
              <w:t>、</w:t>
            </w:r>
            <w:r>
              <w:rPr>
                <w:rFonts w:hint="eastAsia"/>
              </w:rPr>
              <w:t>相关方需求和期望识别情况</w:t>
            </w:r>
          </w:p>
          <w:p>
            <w:r>
              <w:rPr>
                <w:rFonts w:hint="eastAsia"/>
              </w:rPr>
              <w:t>在公司运营</w:t>
            </w:r>
            <w:r>
              <w:rPr>
                <w:rFonts w:hint="eastAsia"/>
                <w:lang w:val="en-US" w:eastAsia="zh-CN"/>
              </w:rPr>
              <w:t>服务</w:t>
            </w:r>
            <w:r>
              <w:rPr>
                <w:rFonts w:hint="eastAsia"/>
              </w:rPr>
              <w:t>过程中充分考虑相关方方面的期望或要求，识别的相关方有：顾客、最终用户或受益人、业主，股东、员工等。销售部门和相关职能部门通过日常例会、市场活动、</w:t>
            </w:r>
            <w:r>
              <w:rPr>
                <w:rFonts w:hint="eastAsia"/>
                <w:lang w:eastAsia="zh-CN"/>
              </w:rPr>
              <w:t>远程</w:t>
            </w:r>
            <w:r>
              <w:rPr>
                <w:rFonts w:hint="eastAsia"/>
              </w:rPr>
              <w:t>拜访、产品展销会、客户调查等多种渠道和方式方法随时了解相关方的需求和期望。做为公司经营风险分析和发展机遇的可利用资源。</w:t>
            </w:r>
          </w:p>
          <w:p>
            <w:pPr>
              <w:spacing w:line="240" w:lineRule="exact"/>
              <w:rPr>
                <w:rFonts w:ascii="宋体" w:hAnsi="宋体"/>
                <w:b/>
                <w:sz w:val="21"/>
                <w:szCs w:val="21"/>
              </w:r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rPr>
                <w:rFonts w:hint="eastAsia"/>
                <w:b/>
                <w:bCs/>
              </w:rPr>
            </w:pPr>
            <w:r>
              <w:rPr>
                <w:rFonts w:hint="eastAsia"/>
                <w:b/>
                <w:bCs/>
              </w:rPr>
              <w:t>顾客至上、强化服务</w:t>
            </w:r>
          </w:p>
          <w:p>
            <w:pPr>
              <w:rPr>
                <w:rFonts w:hint="eastAsia"/>
                <w:b/>
                <w:bCs/>
              </w:rPr>
            </w:pPr>
            <w:r>
              <w:rPr>
                <w:rFonts w:hint="eastAsia"/>
                <w:b/>
                <w:bCs/>
              </w:rPr>
              <w:t>以人为本、顾客满意</w:t>
            </w:r>
          </w:p>
          <w:p>
            <w:pPr>
              <w:rPr>
                <w:rFonts w:hint="eastAsia"/>
                <w:b/>
                <w:bCs/>
              </w:rPr>
            </w:pPr>
            <w:r>
              <w:rPr>
                <w:rFonts w:hint="eastAsia"/>
                <w:b/>
                <w:bCs/>
              </w:rPr>
              <w:t>节能降耗、安全第一</w:t>
            </w:r>
          </w:p>
          <w:p>
            <w:pPr>
              <w:rPr>
                <w:rFonts w:hint="eastAsia"/>
                <w:b/>
                <w:bCs/>
              </w:rPr>
            </w:pPr>
            <w:r>
              <w:rPr>
                <w:rFonts w:hint="eastAsia"/>
                <w:b/>
                <w:bCs/>
              </w:rPr>
              <w:t>珍惜环境、和谐发展</w:t>
            </w:r>
          </w:p>
          <w:p>
            <w:pPr>
              <w:pStyle w:val="2"/>
            </w:pPr>
            <w:r>
              <w:rPr>
                <w:rFonts w:hint="eastAsia"/>
                <w:color w:val="000000"/>
              </w:rPr>
              <w:t>通过管理手册的分发使全体员工理解方针，通过内审和管理评审保持方针的适宜性。</w:t>
            </w:r>
          </w:p>
          <w:p>
            <w:pPr>
              <w:spacing w:line="240" w:lineRule="exact"/>
              <w:ind w:left="228" w:leftChars="95"/>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21</w:t>
            </w:r>
            <w:r>
              <w:rPr>
                <w:rFonts w:hint="eastAsia"/>
              </w:rPr>
              <w:t>年度 SWOT经营环境分析及对策报告”，对影响公司经营和发展的各种因素（内外部环境、相关方要求等）进行分析，确定需要应对的风险和机遇</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tabs>
                <w:tab w:val="left" w:pos="6390"/>
              </w:tabs>
              <w:spacing w:line="360" w:lineRule="auto"/>
              <w:rPr>
                <w:rFonts w:hint="eastAsia"/>
                <w:lang w:val="en-US" w:eastAsia="zh-CN"/>
              </w:rPr>
            </w:pPr>
            <w:r>
              <w:rPr>
                <w:rFonts w:hint="eastAsia"/>
                <w:lang w:eastAsia="zh-CN"/>
              </w:rPr>
              <w:t>（</w:t>
            </w:r>
            <w:r>
              <w:rPr>
                <w:rFonts w:hint="eastAsia"/>
                <w:lang w:val="en-US" w:eastAsia="zh-CN"/>
              </w:rPr>
              <w:t>1）</w:t>
            </w:r>
            <w:r>
              <w:rPr>
                <w:rFonts w:hint="eastAsia"/>
              </w:rPr>
              <w:t>汽车维修</w:t>
            </w:r>
            <w:r>
              <w:rPr>
                <w:rFonts w:hint="eastAsia"/>
                <w:lang w:val="en-US" w:eastAsia="zh-CN"/>
              </w:rPr>
              <w:t>流程：</w:t>
            </w:r>
          </w:p>
          <w:p>
            <w:pPr>
              <w:tabs>
                <w:tab w:val="left" w:pos="6390"/>
              </w:tabs>
              <w:spacing w:line="360" w:lineRule="auto"/>
              <w:rPr>
                <w:rFonts w:hint="eastAsia"/>
              </w:rPr>
            </w:pPr>
            <w:r>
              <w:rPr>
                <w:rFonts w:hint="eastAsia"/>
              </w:rPr>
              <w:t>    进厂接待------- 与客户沟通故障问题----故障检查确定故障原因-----与客户交代故障原因，及故障更换的零部件和所需费用-------派工------维修------</w:t>
            </w:r>
            <w:r>
              <w:rPr>
                <w:rFonts w:hint="eastAsia"/>
                <w:lang w:val="en-US" w:eastAsia="zh-CN"/>
              </w:rPr>
              <w:t>检验</w:t>
            </w:r>
            <w:r>
              <w:rPr>
                <w:rFonts w:hint="eastAsia"/>
              </w:rPr>
              <w:t>----- 客户验收</w:t>
            </w:r>
          </w:p>
          <w:p>
            <w:pPr>
              <w:tabs>
                <w:tab w:val="left" w:pos="6390"/>
              </w:tabs>
              <w:spacing w:line="360" w:lineRule="auto"/>
              <w:rPr>
                <w:rFonts w:hint="eastAsia"/>
                <w:lang w:val="en-US" w:eastAsia="zh-CN"/>
              </w:rPr>
            </w:pPr>
            <w:r>
              <w:rPr>
                <w:rFonts w:hint="eastAsia"/>
                <w:lang w:eastAsia="zh-CN"/>
              </w:rPr>
              <w:t>（</w:t>
            </w:r>
            <w:r>
              <w:rPr>
                <w:rFonts w:hint="eastAsia"/>
                <w:lang w:val="en-US" w:eastAsia="zh-CN"/>
              </w:rPr>
              <w:t>2）</w:t>
            </w:r>
            <w:r>
              <w:rPr>
                <w:rFonts w:hint="eastAsia"/>
              </w:rPr>
              <w:t>城市生活垃圾清扫、收集、运输</w:t>
            </w:r>
            <w:r>
              <w:rPr>
                <w:rFonts w:hint="eastAsia"/>
                <w:lang w:val="en-US" w:eastAsia="zh-CN"/>
              </w:rPr>
              <w:t>流程：</w:t>
            </w:r>
          </w:p>
          <w:p>
            <w:pPr>
              <w:tabs>
                <w:tab w:val="left" w:pos="6390"/>
              </w:tabs>
              <w:spacing w:line="360" w:lineRule="auto"/>
              <w:rPr>
                <w:rFonts w:hint="eastAsia"/>
              </w:rPr>
            </w:pPr>
            <w:r>
              <w:rPr>
                <w:rFonts w:hint="eastAsia"/>
              </w:rPr>
              <w:t>垃圾清运服务：顾客沟通－签订合同--入场清运垃圾---实施清运（指定位置清运）--清理垃圾杂物--客户验收单</w:t>
            </w:r>
          </w:p>
          <w:p>
            <w:pPr>
              <w:tabs>
                <w:tab w:val="left" w:pos="6390"/>
              </w:tabs>
              <w:spacing w:line="360" w:lineRule="auto"/>
              <w:rPr>
                <w:rFonts w:hint="eastAsia"/>
              </w:rPr>
            </w:pPr>
            <w:r>
              <w:rPr>
                <w:rFonts w:hint="eastAsia"/>
                <w:lang w:eastAsia="zh-CN"/>
              </w:rPr>
              <w:t>（</w:t>
            </w:r>
            <w:r>
              <w:rPr>
                <w:rFonts w:hint="eastAsia"/>
                <w:lang w:val="en-US" w:eastAsia="zh-CN"/>
              </w:rPr>
              <w:t>3）</w:t>
            </w:r>
            <w:r>
              <w:rPr>
                <w:rFonts w:hint="eastAsia"/>
              </w:rPr>
              <w:t>普通货运样板</w:t>
            </w:r>
          </w:p>
          <w:p>
            <w:pPr>
              <w:tabs>
                <w:tab w:val="left" w:pos="6390"/>
              </w:tabs>
              <w:spacing w:line="360" w:lineRule="auto"/>
              <w:rPr>
                <w:rFonts w:hint="eastAsia"/>
              </w:rPr>
            </w:pPr>
            <w:r>
              <w:rPr>
                <w:rFonts w:hint="eastAsia"/>
              </w:rPr>
              <w:t>客户接触----签订配送合同-----客户付款------清点货物------货物验收确认----运输-----交付确认——收回单据</w:t>
            </w:r>
          </w:p>
          <w:p>
            <w:pPr>
              <w:tabs>
                <w:tab w:val="left" w:pos="6390"/>
              </w:tabs>
              <w:spacing w:line="360" w:lineRule="auto"/>
              <w:rPr>
                <w:rFonts w:hint="eastAsia" w:ascii="华文中宋" w:hAnsi="华文中宋" w:eastAsia="宋体" w:cs="宋体"/>
                <w:b/>
                <w:color w:val="000000"/>
                <w:sz w:val="21"/>
                <w:szCs w:val="21"/>
                <w:lang w:val="en-US" w:eastAsia="zh-CN"/>
              </w:rPr>
            </w:pPr>
            <w:r>
              <w:rPr>
                <w:rFonts w:hint="eastAsia" w:ascii="华文中宋" w:hAnsi="华文中宋" w:eastAsia="华文中宋" w:cs="宋体"/>
                <w:b/>
                <w:color w:val="000000"/>
                <w:sz w:val="21"/>
                <w:szCs w:val="21"/>
                <w:lang w:val="en-US" w:eastAsia="zh-CN"/>
              </w:rPr>
              <w:t>特殊过程：</w:t>
            </w:r>
            <w:r>
              <w:rPr>
                <w:rFonts w:hint="eastAsia"/>
                <w:b/>
                <w:sz w:val="20"/>
                <w:szCs w:val="22"/>
              </w:rPr>
              <w:t>汽车维修</w:t>
            </w:r>
            <w:r>
              <w:rPr>
                <w:rFonts w:hint="eastAsia"/>
                <w:b/>
                <w:sz w:val="20"/>
                <w:szCs w:val="22"/>
                <w:lang w:val="en-US" w:eastAsia="zh-CN"/>
              </w:rPr>
              <w:t>过程、</w:t>
            </w:r>
            <w:r>
              <w:rPr>
                <w:rFonts w:hint="eastAsia"/>
                <w:b/>
                <w:sz w:val="20"/>
                <w:szCs w:val="22"/>
                <w:lang w:eastAsia="zh-CN"/>
              </w:rPr>
              <w:t>运输</w:t>
            </w:r>
            <w:r>
              <w:rPr>
                <w:rFonts w:hint="eastAsia"/>
                <w:b/>
                <w:sz w:val="20"/>
                <w:szCs w:val="22"/>
              </w:rPr>
              <w:t>服务过程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b/>
                <w:sz w:val="20"/>
                <w:szCs w:val="22"/>
              </w:rPr>
              <w:t>汽车维修</w:t>
            </w:r>
            <w:r>
              <w:rPr>
                <w:rFonts w:hint="eastAsia"/>
                <w:b/>
                <w:sz w:val="20"/>
                <w:szCs w:val="22"/>
                <w:lang w:val="en-US" w:eastAsia="zh-CN"/>
              </w:rPr>
              <w:t>过程、</w:t>
            </w:r>
            <w:r>
              <w:rPr>
                <w:rFonts w:hint="eastAsia"/>
                <w:b/>
                <w:sz w:val="20"/>
                <w:szCs w:val="22"/>
                <w:lang w:eastAsia="zh-CN"/>
              </w:rPr>
              <w:t>运输</w:t>
            </w:r>
            <w:r>
              <w:rPr>
                <w:rFonts w:hint="eastAsia"/>
                <w:b/>
                <w:sz w:val="20"/>
                <w:szCs w:val="22"/>
              </w:rPr>
              <w:t>服务过程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b/>
                <w:sz w:val="20"/>
                <w:szCs w:val="22"/>
              </w:rPr>
              <w:t>汽车维修</w:t>
            </w:r>
            <w:r>
              <w:rPr>
                <w:rFonts w:hint="eastAsia"/>
                <w:b/>
                <w:sz w:val="20"/>
                <w:szCs w:val="22"/>
                <w:lang w:val="en-US" w:eastAsia="zh-CN"/>
              </w:rPr>
              <w:t>过程、</w:t>
            </w:r>
            <w:r>
              <w:rPr>
                <w:rFonts w:hint="eastAsia"/>
                <w:b/>
                <w:sz w:val="20"/>
                <w:szCs w:val="22"/>
                <w:lang w:eastAsia="zh-CN"/>
              </w:rPr>
              <w:t>运输</w:t>
            </w:r>
            <w:r>
              <w:rPr>
                <w:rFonts w:hint="eastAsia"/>
                <w:b/>
                <w:sz w:val="20"/>
                <w:szCs w:val="22"/>
              </w:rPr>
              <w:t>服务过程</w:t>
            </w:r>
          </w:p>
          <w:p>
            <w:pPr>
              <w:rPr>
                <w:rFonts w:ascii="宋体" w:hAnsi="宋体"/>
                <w:b/>
                <w:color w:val="000000" w:themeColor="text1"/>
                <w:sz w:val="20"/>
                <w:szCs w:val="20"/>
              </w:rPr>
            </w:pPr>
            <w:r>
              <w:rPr>
                <w:rFonts w:hint="eastAsia" w:ascii="宋体" w:hAnsi="宋体"/>
                <w:b/>
                <w:color w:val="000000" w:themeColor="text1"/>
                <w:sz w:val="20"/>
                <w:szCs w:val="20"/>
              </w:rPr>
              <w:t>不适用条款是   8.3     ，不适用理由：本公司</w:t>
            </w:r>
            <w:r>
              <w:rPr>
                <w:rFonts w:hint="eastAsia" w:ascii="宋体" w:hAnsi="宋体"/>
                <w:szCs w:val="21"/>
              </w:rPr>
              <w:t>资质许可范围内的普通货运，城市生活垃圾清扫、收集、运输，二类汽车维修（大中型客车维修、小型车维修、大型货车维修）</w:t>
            </w:r>
            <w:r>
              <w:rPr>
                <w:rFonts w:hint="eastAsia" w:ascii="宋体" w:hAnsi="宋体"/>
                <w:szCs w:val="21"/>
                <w:lang w:val="en-US" w:eastAsia="zh-CN"/>
              </w:rPr>
              <w:t>过程按照客户的要求进行，</w:t>
            </w:r>
            <w:r>
              <w:rPr>
                <w:rFonts w:hint="eastAsia" w:ascii="宋体" w:hAnsi="宋体"/>
                <w:b/>
                <w:color w:val="000000" w:themeColor="text1"/>
                <w:sz w:val="20"/>
                <w:szCs w:val="20"/>
              </w:rPr>
              <w:t xml:space="preserve">不涉及产品的设计开发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leftChars="0"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auto"/>
                <w:spacing w:val="-12"/>
                <w:sz w:val="20"/>
                <w:szCs w:val="20"/>
              </w:rPr>
            </w:pPr>
            <w:r>
              <w:rPr>
                <w:rFonts w:hint="eastAsia"/>
                <w:b/>
                <w:color w:val="auto"/>
                <w:sz w:val="20"/>
                <w:szCs w:val="20"/>
              </w:rPr>
              <w:t xml:space="preserve">6. </w:t>
            </w:r>
            <w:r>
              <w:rPr>
                <w:b/>
                <w:color w:val="auto"/>
                <w:spacing w:val="-12"/>
                <w:sz w:val="20"/>
                <w:szCs w:val="20"/>
              </w:rPr>
              <w:t>EMS</w:t>
            </w:r>
            <w:r>
              <w:rPr>
                <w:rFonts w:hint="eastAsia" w:ascii="宋体" w:hAnsi="宋体"/>
                <w:b/>
                <w:color w:val="auto"/>
                <w:spacing w:val="-12"/>
                <w:sz w:val="20"/>
                <w:szCs w:val="20"/>
              </w:rPr>
              <w:t>环境因素/</w:t>
            </w:r>
            <w:r>
              <w:rPr>
                <w:rFonts w:ascii="宋体" w:hAnsi="宋体"/>
                <w:b/>
                <w:color w:val="auto"/>
                <w:spacing w:val="-12"/>
                <w:sz w:val="20"/>
                <w:szCs w:val="20"/>
              </w:rPr>
              <w:t xml:space="preserve"> </w:t>
            </w:r>
          </w:p>
          <w:p>
            <w:pPr>
              <w:spacing w:line="300" w:lineRule="exact"/>
              <w:rPr>
                <w:rFonts w:ascii="宋体" w:hAnsi="宋体"/>
                <w:b/>
                <w:color w:val="auto"/>
                <w:spacing w:val="-8"/>
                <w:sz w:val="20"/>
                <w:szCs w:val="20"/>
              </w:rPr>
            </w:pPr>
            <w:r>
              <w:rPr>
                <w:rFonts w:hint="eastAsia" w:ascii="宋体" w:hAnsi="宋体"/>
                <w:b/>
                <w:color w:val="auto"/>
                <w:sz w:val="20"/>
                <w:szCs w:val="20"/>
              </w:rPr>
              <w:t>（</w:t>
            </w:r>
            <w:r>
              <w:rPr>
                <w:rFonts w:hint="eastAsia" w:ascii="宋体" w:hAnsi="宋体"/>
                <w:b/>
                <w:color w:val="auto"/>
                <w:spacing w:val="-8"/>
                <w:sz w:val="20"/>
                <w:szCs w:val="20"/>
              </w:rPr>
              <w:t>环境因素</w:t>
            </w:r>
            <w:r>
              <w:rPr>
                <w:rFonts w:hint="eastAsia" w:ascii="宋体" w:hAnsi="宋体"/>
                <w:b/>
                <w:color w:val="auto"/>
                <w:sz w:val="20"/>
                <w:szCs w:val="20"/>
              </w:rPr>
              <w:t>辨识是否充分、重要环境因素评价合理性，</w:t>
            </w:r>
            <w:r>
              <w:rPr>
                <w:rFonts w:hint="eastAsia" w:ascii="宋体" w:hAnsi="宋体"/>
                <w:b/>
                <w:color w:val="auto"/>
                <w:spacing w:val="-8"/>
                <w:sz w:val="20"/>
                <w:szCs w:val="20"/>
              </w:rPr>
              <w:t>以及环境因素动态变更的及时性等）</w:t>
            </w:r>
          </w:p>
          <w:p>
            <w:pPr>
              <w:spacing w:line="394" w:lineRule="exact"/>
              <w:ind w:firstLine="480" w:firstLineChars="200"/>
              <w:rPr>
                <w:color w:val="auto"/>
                <w:szCs w:val="21"/>
              </w:rPr>
            </w:pPr>
            <w:r>
              <w:rPr>
                <w:rFonts w:hint="eastAsia"/>
                <w:color w:val="auto"/>
                <w:szCs w:val="21"/>
              </w:rPr>
              <w:t>编制了</w:t>
            </w:r>
            <w:r>
              <w:rPr>
                <w:color w:val="auto"/>
                <w:szCs w:val="21"/>
              </w:rPr>
              <w:t>《环境因素的识别与评价控制程序》</w:t>
            </w:r>
            <w:r>
              <w:rPr>
                <w:rFonts w:hint="eastAsia"/>
                <w:color w:val="auto"/>
                <w:szCs w:val="21"/>
              </w:rPr>
              <w:t>符合标准要求.</w:t>
            </w:r>
          </w:p>
          <w:p>
            <w:pPr>
              <w:ind w:firstLine="480" w:firstLineChars="200"/>
              <w:rPr>
                <w:color w:val="auto"/>
              </w:rPr>
            </w:pPr>
            <w:r>
              <w:rPr>
                <w:rFonts w:hint="eastAsia"/>
                <w:color w:val="auto"/>
                <w:szCs w:val="21"/>
              </w:rPr>
              <w:t>提供的“环境因素识别评价表”“重要环境因素清单”， 评价考虑了三种时态现在、过去、将来、三种状态、异常、正常、紧急考虑了法律法规，并进行了评价，针对</w:t>
            </w:r>
            <w:r>
              <w:rPr>
                <w:rFonts w:hint="eastAsia" w:ascii="宋体" w:hAnsi="宋体"/>
                <w:color w:val="auto"/>
                <w:szCs w:val="21"/>
              </w:rPr>
              <w:t>资质许可范围内的普通货运，城市生活垃圾清扫、收集、运输，二类汽车维修（大中型客车维修、小型车维修、大型货车维修）</w:t>
            </w:r>
            <w:r>
              <w:rPr>
                <w:rFonts w:hint="eastAsia"/>
                <w:color w:val="auto"/>
                <w:szCs w:val="21"/>
              </w:rPr>
              <w:t>过程，用打分法考虑了法规符合性、发生频次、影响范围等, 通过定性判断法，共识别出重大环境因素</w:t>
            </w:r>
            <w:r>
              <w:rPr>
                <w:rFonts w:hint="eastAsia"/>
                <w:color w:val="auto"/>
                <w:szCs w:val="21"/>
                <w:lang w:val="en-US" w:eastAsia="zh-CN"/>
              </w:rPr>
              <w:t>4</w:t>
            </w:r>
            <w:r>
              <w:rPr>
                <w:rFonts w:hint="eastAsia"/>
                <w:color w:val="auto"/>
                <w:szCs w:val="21"/>
              </w:rPr>
              <w:t>项：</w:t>
            </w:r>
            <w:r>
              <w:rPr>
                <w:rStyle w:val="15"/>
                <w:rFonts w:hint="eastAsia" w:ascii="Arial" w:hAnsi="Arial" w:cs="Arial"/>
                <w:color w:val="auto"/>
                <w:shd w:val="clear" w:color="auto" w:fill="FFFFFF"/>
                <w:lang w:val="en-US" w:eastAsia="zh-CN"/>
              </w:rPr>
              <w:t>废水、废气、噪声、</w:t>
            </w:r>
            <w:r>
              <w:rPr>
                <w:rStyle w:val="15"/>
                <w:rFonts w:hint="eastAsia" w:ascii="Arial" w:hAnsi="Arial" w:cs="Arial"/>
                <w:color w:val="auto"/>
                <w:shd w:val="clear" w:color="auto" w:fill="FFFFFF"/>
              </w:rPr>
              <w:t>固体废弃物</w:t>
            </w:r>
            <w:r>
              <w:rPr>
                <w:rFonts w:hint="eastAsia"/>
                <w:color w:val="auto"/>
                <w:szCs w:val="21"/>
              </w:rPr>
              <w:t>，评价符合程序要求及公司的实际情况。</w:t>
            </w:r>
          </w:p>
          <w:p>
            <w:pPr>
              <w:spacing w:line="300" w:lineRule="exact"/>
              <w:rPr>
                <w:rFonts w:ascii="宋体" w:hAnsi="宋体"/>
                <w:b/>
                <w:sz w:val="21"/>
                <w:szCs w:val="21"/>
              </w:rPr>
            </w:pPr>
            <w:r>
              <w:rPr>
                <w:rFonts w:hint="eastAsia"/>
                <w:color w:val="auto"/>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color w:val="auto"/>
              </w:rPr>
            </w:pPr>
            <w:r>
              <w:rPr>
                <w:rFonts w:hint="eastAsia"/>
                <w:color w:val="auto"/>
              </w:rPr>
              <w:t xml:space="preserve">7. </w:t>
            </w:r>
            <w:r>
              <w:rPr>
                <w:color w:val="auto"/>
              </w:rPr>
              <w:t>OHSMS</w:t>
            </w:r>
            <w:r>
              <w:rPr>
                <w:rFonts w:hint="eastAsia"/>
                <w:color w:val="auto"/>
              </w:rPr>
              <w:t>职业健康安全危险源</w:t>
            </w:r>
          </w:p>
          <w:p>
            <w:pPr>
              <w:spacing w:line="300" w:lineRule="exact"/>
              <w:rPr>
                <w:color w:val="auto"/>
              </w:rPr>
            </w:pPr>
            <w:r>
              <w:rPr>
                <w:rFonts w:hint="eastAsia"/>
                <w:color w:val="auto"/>
              </w:rPr>
              <w:t>（职业健康安全危险源辨识是否充分、风险评价合理性，以及风险评价动态变更的及时性等）</w:t>
            </w:r>
          </w:p>
          <w:p>
            <w:pPr>
              <w:ind w:firstLine="480" w:firstLineChars="200"/>
              <w:rPr>
                <w:color w:val="auto"/>
                <w:szCs w:val="21"/>
              </w:rPr>
            </w:pPr>
            <w:r>
              <w:rPr>
                <w:rFonts w:hint="eastAsia"/>
                <w:color w:val="auto"/>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color w:val="auto"/>
                <w:szCs w:val="21"/>
              </w:rPr>
            </w:pPr>
            <w:r>
              <w:rPr>
                <w:rFonts w:hint="eastAsia"/>
                <w:color w:val="auto"/>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color w:val="auto"/>
                <w:szCs w:val="21"/>
                <w:lang w:val="en-US" w:eastAsia="zh-CN"/>
              </w:rPr>
              <w:t>3</w:t>
            </w:r>
            <w:r>
              <w:rPr>
                <w:rFonts w:hint="eastAsia"/>
                <w:color w:val="auto"/>
                <w:szCs w:val="21"/>
              </w:rPr>
              <w:t>项，涉及：</w:t>
            </w:r>
            <w:r>
              <w:rPr>
                <w:rStyle w:val="15"/>
                <w:rFonts w:hint="eastAsia" w:ascii="Arial" w:hAnsi="Arial" w:cs="Arial"/>
                <w:color w:val="auto"/>
                <w:shd w:val="clear" w:color="auto" w:fill="FFFFFF"/>
              </w:rPr>
              <w:t>潜在火灾</w:t>
            </w:r>
            <w:r>
              <w:rPr>
                <w:rStyle w:val="15"/>
                <w:rFonts w:hint="eastAsia" w:ascii="Arial" w:hAnsi="Arial" w:cs="Arial"/>
                <w:color w:val="auto"/>
                <w:shd w:val="clear" w:color="auto" w:fill="FFFFFF"/>
                <w:lang w:eastAsia="zh-CN"/>
              </w:rPr>
              <w:t>、</w:t>
            </w:r>
            <w:r>
              <w:rPr>
                <w:rStyle w:val="15"/>
                <w:rFonts w:hint="eastAsia" w:ascii="Arial" w:hAnsi="Arial" w:cs="Arial"/>
                <w:bCs w:val="0"/>
                <w:color w:val="auto"/>
                <w:spacing w:val="0"/>
                <w:shd w:val="clear" w:color="auto" w:fill="FFFFFF"/>
                <w:lang w:val="en-US" w:eastAsia="zh-CN"/>
              </w:rPr>
              <w:t>触电、</w:t>
            </w:r>
            <w:r>
              <w:rPr>
                <w:rStyle w:val="15"/>
                <w:rFonts w:hint="eastAsia" w:ascii="Arial" w:hAnsi="Arial" w:cs="Arial"/>
                <w:bCs w:val="0"/>
                <w:color w:val="auto"/>
                <w:spacing w:val="0"/>
                <w:shd w:val="clear" w:color="auto" w:fill="FFFFFF"/>
              </w:rPr>
              <w:t>意外伤害</w:t>
            </w:r>
            <w:r>
              <w:rPr>
                <w:rStyle w:val="15"/>
                <w:rFonts w:hint="eastAsia" w:ascii="Arial" w:hAnsi="Arial" w:cs="Arial"/>
                <w:bCs w:val="0"/>
                <w:color w:val="auto"/>
                <w:spacing w:val="0"/>
                <w:shd w:val="clear" w:color="auto" w:fill="FFFFFF"/>
                <w:lang w:eastAsia="zh-CN"/>
              </w:rPr>
              <w:t>、</w:t>
            </w:r>
            <w:r>
              <w:rPr>
                <w:rStyle w:val="15"/>
                <w:rFonts w:hint="eastAsia" w:ascii="Arial" w:hAnsi="Arial" w:cs="Arial"/>
                <w:bCs w:val="0"/>
                <w:color w:val="auto"/>
                <w:spacing w:val="0"/>
                <w:shd w:val="clear" w:color="auto" w:fill="FFFFFF"/>
                <w:lang w:val="en-US" w:eastAsia="zh-CN"/>
              </w:rPr>
              <w:t>机械伤害、职业病</w:t>
            </w:r>
            <w:r>
              <w:rPr>
                <w:rFonts w:hint="eastAsia"/>
                <w:color w:val="auto"/>
                <w:szCs w:val="21"/>
              </w:rPr>
              <w:t>，评价符合程序要求及公司的实际情况。对危险源的控制措施包括制定管理制度、监督检查、应急预案、培训等。</w:t>
            </w:r>
          </w:p>
          <w:p>
            <w:pPr>
              <w:pStyle w:val="2"/>
              <w:rPr>
                <w:rFonts w:ascii="宋体" w:hAnsi="宋体"/>
                <w:b/>
                <w:sz w:val="21"/>
                <w:szCs w:val="21"/>
              </w:rPr>
            </w:pPr>
            <w:r>
              <w:rPr>
                <w:rFonts w:hint="eastAsia"/>
                <w:bCs w:val="0"/>
                <w:color w:val="auto"/>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获取法律法规102项，■法律法规获取充分，□法律法规获取有遗漏，缺少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6"/>
              <w:numPr>
                <w:ilvl w:val="0"/>
                <w:numId w:val="2"/>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6"/>
              <w:numPr>
                <w:ilvl w:val="0"/>
                <w:numId w:val="2"/>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80" w:firstLineChars="200"/>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hint="eastAsia"/>
                <w:szCs w:val="21"/>
              </w:rPr>
            </w:pPr>
          </w:p>
          <w:p>
            <w:pPr>
              <w:tabs>
                <w:tab w:val="left" w:pos="540"/>
              </w:tabs>
              <w:spacing w:line="240" w:lineRule="exact"/>
              <w:rPr>
                <w:rFonts w:ascii="宋体" w:hAnsi="宋体"/>
                <w:b/>
                <w:sz w:val="21"/>
                <w:szCs w:val="21"/>
              </w:rPr>
            </w:pPr>
            <w:r>
              <w:rPr>
                <w:rFonts w:hint="eastAsia"/>
                <w:szCs w:val="21"/>
              </w:rPr>
              <w:t>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rPr>
                <w:rFonts w:ascii="宋体" w:hAnsi="宋体"/>
                <w:b/>
                <w:sz w:val="21"/>
                <w:szCs w:val="21"/>
              </w:rPr>
            </w:pPr>
            <w:r>
              <w:rPr>
                <w:rFonts w:hint="eastAsia"/>
                <w:bCs/>
                <w:szCs w:val="21"/>
              </w:rPr>
              <w:t>该公司员工共</w:t>
            </w:r>
            <w:r>
              <w:rPr>
                <w:rFonts w:hint="eastAsia"/>
                <w:bCs/>
                <w:szCs w:val="21"/>
                <w:lang w:val="en-US" w:eastAsia="zh-CN"/>
              </w:rPr>
              <w:t>25</w:t>
            </w:r>
            <w:r>
              <w:rPr>
                <w:rFonts w:hint="eastAsia"/>
                <w:bCs/>
                <w:szCs w:val="21"/>
              </w:rPr>
              <w:t>人，管理人</w:t>
            </w:r>
            <w:r>
              <w:rPr>
                <w:rFonts w:hint="eastAsia"/>
                <w:bCs/>
                <w:szCs w:val="21"/>
                <w:lang w:val="en-US" w:eastAsia="zh-CN"/>
              </w:rPr>
              <w:t>4</w:t>
            </w:r>
            <w:r>
              <w:rPr>
                <w:rFonts w:hint="eastAsia"/>
                <w:bCs/>
                <w:szCs w:val="21"/>
              </w:rPr>
              <w:t>人。有专业的</w:t>
            </w:r>
            <w:r>
              <w:rPr>
                <w:rFonts w:hint="eastAsia"/>
                <w:bCs/>
                <w:szCs w:val="21"/>
                <w:lang w:val="en-US" w:eastAsia="zh-CN"/>
              </w:rPr>
              <w:t>技术咨询服务</w:t>
            </w:r>
            <w:r>
              <w:rPr>
                <w:rFonts w:hint="eastAsia"/>
                <w:bCs/>
                <w:szCs w:val="21"/>
              </w:rPr>
              <w:t>人员，能满足</w:t>
            </w:r>
            <w:r>
              <w:rPr>
                <w:rFonts w:hint="eastAsia" w:ascii="宋体" w:hAnsi="宋体"/>
                <w:szCs w:val="21"/>
              </w:rPr>
              <w:t>资质许可范围内的普通货运，城市生活垃圾清扫、收集、运输，二类汽车维修（大中型客车维修、小型车维修、大型货车维修）</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设备设施（包括信息系统）</w:t>
            </w:r>
          </w:p>
          <w:p>
            <w:pPr>
              <w:pStyle w:val="2"/>
              <w:rPr>
                <w:rFonts w:hint="eastAsia" w:ascii="Times New Roman" w:hAnsi="Times New Roman" w:eastAsia="宋体" w:cs="Times New Roman"/>
                <w:bCs/>
                <w:spacing w:val="0"/>
                <w:kern w:val="2"/>
                <w:sz w:val="24"/>
                <w:szCs w:val="21"/>
                <w:lang w:val="en-US" w:eastAsia="zh-CN" w:bidi="ar-SA"/>
              </w:rPr>
            </w:pPr>
            <w:r>
              <w:rPr>
                <w:rFonts w:hint="eastAsia" w:ascii="Times New Roman" w:hAnsi="Times New Roman" w:eastAsia="宋体" w:cs="Times New Roman"/>
                <w:bCs/>
                <w:spacing w:val="0"/>
                <w:kern w:val="2"/>
                <w:sz w:val="24"/>
                <w:szCs w:val="21"/>
                <w:lang w:val="en-US" w:eastAsia="zh-CN" w:bidi="ar-SA"/>
              </w:rPr>
              <w:t>运营设备有：货车、垃圾车、洗地机、扫帚、扳手、千斤顶、平衡机、拆胎机、烤漆房等</w:t>
            </w:r>
          </w:p>
          <w:p>
            <w:pPr>
              <w:rPr>
                <w:rFonts w:hint="eastAsia" w:ascii="Times New Roman" w:hAnsi="Times New Roman" w:eastAsia="宋体" w:cs="Times New Roman"/>
                <w:bCs/>
                <w:spacing w:val="0"/>
                <w:kern w:val="2"/>
                <w:sz w:val="24"/>
                <w:szCs w:val="21"/>
                <w:lang w:val="en-US" w:eastAsia="zh-CN" w:bidi="ar-SA"/>
              </w:rPr>
            </w:pPr>
            <w:r>
              <w:rPr>
                <w:rFonts w:hint="eastAsia" w:ascii="Times New Roman" w:hAnsi="Times New Roman" w:eastAsia="宋体" w:cs="Times New Roman"/>
                <w:bCs/>
                <w:spacing w:val="0"/>
                <w:kern w:val="2"/>
                <w:sz w:val="24"/>
                <w:szCs w:val="21"/>
                <w:lang w:val="en-US" w:eastAsia="zh-CN" w:bidi="ar-SA"/>
              </w:rPr>
              <w:t>办公设备:电脑/打印机/传真机/电话等。提供维修保养计划及记录，满足要求。</w:t>
            </w:r>
          </w:p>
          <w:p>
            <w:pPr>
              <w:rPr>
                <w:rFonts w:hint="eastAsia" w:ascii="Times New Roman" w:hAnsi="Times New Roman" w:eastAsia="宋体" w:cs="Times New Roman"/>
                <w:bCs/>
                <w:spacing w:val="0"/>
                <w:kern w:val="2"/>
                <w:sz w:val="24"/>
                <w:szCs w:val="21"/>
                <w:lang w:val="en-US" w:eastAsia="zh-CN" w:bidi="ar-SA"/>
              </w:rPr>
            </w:pPr>
            <w:r>
              <w:rPr>
                <w:rFonts w:hint="eastAsia" w:ascii="Times New Roman" w:hAnsi="Times New Roman" w:eastAsia="宋体" w:cs="Times New Roman"/>
                <w:bCs/>
                <w:spacing w:val="0"/>
                <w:kern w:val="2"/>
                <w:sz w:val="24"/>
                <w:szCs w:val="21"/>
                <w:lang w:val="en-US" w:eastAsia="zh-CN" w:bidi="ar-SA"/>
              </w:rPr>
              <w:t>环保设施包括：活性炭过滤设备、垃圾桶；</w:t>
            </w:r>
          </w:p>
          <w:p>
            <w:pPr>
              <w:widowControl/>
              <w:spacing w:line="460" w:lineRule="exact"/>
              <w:jc w:val="left"/>
              <w:rPr>
                <w:rFonts w:hint="eastAsia" w:ascii="Times New Roman" w:hAnsi="Times New Roman" w:eastAsia="宋体" w:cs="Times New Roman"/>
                <w:bCs/>
                <w:spacing w:val="0"/>
                <w:kern w:val="2"/>
                <w:sz w:val="24"/>
                <w:szCs w:val="21"/>
                <w:lang w:val="en-US" w:eastAsia="zh-CN" w:bidi="ar-SA"/>
              </w:rPr>
            </w:pPr>
            <w:r>
              <w:rPr>
                <w:rFonts w:hint="eastAsia" w:ascii="Times New Roman" w:hAnsi="Times New Roman" w:eastAsia="宋体" w:cs="Times New Roman"/>
                <w:bCs/>
                <w:spacing w:val="0"/>
                <w:kern w:val="2"/>
                <w:sz w:val="24"/>
                <w:szCs w:val="21"/>
                <w:lang w:val="en-US" w:eastAsia="zh-CN" w:bidi="ar-SA"/>
              </w:rPr>
              <w:t>安全设施配置主要有：标识牌、灭火器、消防器材等，</w:t>
            </w:r>
          </w:p>
          <w:p>
            <w:pPr>
              <w:spacing w:line="240" w:lineRule="exact"/>
              <w:rPr>
                <w:rFonts w:ascii="宋体" w:hAnsi="宋体"/>
                <w:b/>
                <w:color w:val="000000" w:themeColor="text1"/>
                <w:sz w:val="20"/>
                <w:szCs w:val="20"/>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lang w:eastAsia="zh-CN"/>
              </w:rPr>
              <w:t>远程</w:t>
            </w:r>
            <w:r>
              <w:rPr>
                <w:rFonts w:hint="eastAsia"/>
              </w:rPr>
              <w:t>观察生产区和办公区域环境卫生管理，工作场所布局合理，温湿度适宜，照明良好，满足办公需求。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pStyle w:val="2"/>
              <w:rPr>
                <w:rFonts w:hint="eastAsia" w:eastAsia="宋体"/>
                <w:lang w:val="en-US" w:eastAsia="zh-CN"/>
              </w:rPr>
            </w:pPr>
            <w:r>
              <w:rPr>
                <w:rFonts w:hint="eastAsia" w:cs="Lucida Sans"/>
                <w:b/>
                <w:szCs w:val="20"/>
              </w:rPr>
              <w:t>监视和测量设备有：</w:t>
            </w:r>
            <w:r>
              <w:rPr>
                <w:rFonts w:hint="eastAsia"/>
                <w:color w:val="auto"/>
                <w:szCs w:val="22"/>
              </w:rPr>
              <w:t>扭力扳手</w:t>
            </w:r>
            <w:r>
              <w:rPr>
                <w:rFonts w:hint="eastAsia"/>
                <w:color w:val="auto"/>
                <w:szCs w:val="22"/>
                <w:lang w:eastAsia="zh-CN"/>
              </w:rPr>
              <w:t>、</w:t>
            </w:r>
            <w:r>
              <w:rPr>
                <w:rFonts w:hint="eastAsia"/>
                <w:color w:val="auto"/>
                <w:szCs w:val="22"/>
              </w:rPr>
              <w:t>游标卡尺</w:t>
            </w:r>
            <w:r>
              <w:rPr>
                <w:rFonts w:hint="eastAsia"/>
                <w:color w:val="auto"/>
                <w:szCs w:val="22"/>
                <w:lang w:eastAsia="zh-CN"/>
              </w:rPr>
              <w:t>、</w:t>
            </w:r>
            <w:r>
              <w:rPr>
                <w:rFonts w:hint="eastAsia"/>
                <w:color w:val="auto"/>
                <w:szCs w:val="22"/>
                <w:lang w:val="en-US" w:eastAsia="zh-CN"/>
              </w:rPr>
              <w:t>万用表等</w:t>
            </w:r>
          </w:p>
          <w:p>
            <w:pPr>
              <w:spacing w:line="240" w:lineRule="exact"/>
              <w:rPr>
                <w:rFonts w:ascii="宋体" w:hAnsi="宋体"/>
                <w:b/>
                <w:sz w:val="21"/>
                <w:szCs w:val="21"/>
              </w:rPr>
            </w:pPr>
            <w:r>
              <w:rPr>
                <w:rFonts w:hint="eastAsia"/>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ind w:firstLine="241" w:firstLineChars="100"/>
              <w:rPr>
                <w:rFonts w:ascii="宋体" w:hAnsi="宋体"/>
                <w:color w:val="000000" w:themeColor="text1"/>
                <w:sz w:val="20"/>
                <w:szCs w:val="20"/>
              </w:rPr>
            </w:pPr>
            <w:r>
              <w:rPr>
                <w:rFonts w:hint="eastAsia" w:cs="Lucida Sans"/>
                <w:b/>
                <w:szCs w:val="20"/>
                <w:lang w:val="en-US" w:eastAsia="zh-CN"/>
              </w:rPr>
              <w:t>废气处理设备</w:t>
            </w:r>
            <w:r>
              <w:rPr>
                <w:rFonts w:hint="eastAsia"/>
                <w:szCs w:val="21"/>
              </w:rPr>
              <w:t>、</w:t>
            </w:r>
            <w:r>
              <w:rPr>
                <w:rFonts w:hint="eastAsia" w:cs="Lucida Sans"/>
                <w:b/>
                <w:szCs w:val="20"/>
              </w:rPr>
              <w:t>垃圾桶</w:t>
            </w:r>
            <w:r>
              <w:rPr>
                <w:rFonts w:hint="eastAsia"/>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rPr>
            </w:pPr>
            <w:r>
              <w:rPr>
                <w:rFonts w:hint="eastAsia"/>
                <w:b/>
                <w:bCs/>
              </w:rPr>
              <w:t>职业健康安全设施：</w:t>
            </w:r>
          </w:p>
          <w:p>
            <w:pPr>
              <w:pStyle w:val="2"/>
              <w:rPr>
                <w:rFonts w:ascii="宋体" w:hAnsi="宋体"/>
                <w:b/>
                <w:sz w:val="21"/>
                <w:szCs w:val="21"/>
              </w:rPr>
            </w:pPr>
            <w:r>
              <w:rPr>
                <w:rFonts w:hint="eastAsia" w:cs="Lucida Sans"/>
                <w:b/>
                <w:szCs w:val="20"/>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pStyle w:val="2"/>
              <w:rPr>
                <w:b/>
                <w:color w:val="000000" w:themeColor="text1"/>
                <w:sz w:val="20"/>
                <w:szCs w:val="20"/>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spacing w:line="300" w:lineRule="exact"/>
              <w:ind w:left="1"/>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w:t>
            </w:r>
            <w:r>
              <w:rPr>
                <w:rFonts w:hint="eastAsia"/>
                <w:bCs/>
                <w:szCs w:val="21"/>
                <w:lang w:eastAsia="zh-CN"/>
              </w:rPr>
              <w:t>远程</w:t>
            </w:r>
            <w:r>
              <w:rPr>
                <w:rFonts w:hint="eastAsia"/>
                <w:bCs/>
                <w:szCs w:val="21"/>
              </w:rPr>
              <w:t>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jc w:val="left"/>
              <w:rPr>
                <w:bCs/>
                <w:szCs w:val="21"/>
              </w:rPr>
            </w:pPr>
          </w:p>
          <w:p>
            <w:pPr>
              <w:tabs>
                <w:tab w:val="left" w:pos="6390"/>
              </w:tabs>
              <w:spacing w:line="360" w:lineRule="auto"/>
              <w:rPr>
                <w:rFonts w:ascii="宋体" w:hAnsi="宋体"/>
                <w:b/>
                <w:sz w:val="21"/>
                <w:szCs w:val="21"/>
              </w:rPr>
            </w:pPr>
            <w:r>
              <w:rPr>
                <w:rFonts w:hint="eastAsia"/>
                <w:b/>
                <w:sz w:val="20"/>
                <w:szCs w:val="22"/>
              </w:rPr>
              <w:t>汽车维修</w:t>
            </w:r>
            <w:r>
              <w:rPr>
                <w:rFonts w:hint="eastAsia"/>
                <w:b/>
                <w:sz w:val="20"/>
                <w:szCs w:val="22"/>
                <w:lang w:val="en-US" w:eastAsia="zh-CN"/>
              </w:rPr>
              <w:t>过程、</w:t>
            </w:r>
            <w:r>
              <w:rPr>
                <w:rFonts w:hint="eastAsia"/>
                <w:b/>
                <w:sz w:val="20"/>
                <w:szCs w:val="22"/>
                <w:lang w:eastAsia="zh-CN"/>
              </w:rPr>
              <w:t>运输</w:t>
            </w:r>
            <w:r>
              <w:rPr>
                <w:rFonts w:hint="eastAsia"/>
                <w:b/>
                <w:sz w:val="20"/>
                <w:szCs w:val="22"/>
              </w:rPr>
              <w:t>服务过程</w:t>
            </w:r>
            <w:r>
              <w:rPr>
                <w:rFonts w:hint="eastAsia"/>
                <w:bCs/>
                <w:szCs w:val="21"/>
              </w:rPr>
              <w:t>为特殊过程，公司制定了“特殊过程评审、确认准则”，能对重要过程实施控制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rPr>
                <w:bCs/>
                <w:szCs w:val="21"/>
              </w:rPr>
            </w:pPr>
            <w:r>
              <w:rPr>
                <w:rFonts w:hint="eastAsia"/>
                <w:bCs/>
                <w:szCs w:val="21"/>
              </w:rPr>
              <w:t>按照顾客和合同要求进行服务，能够稳定的向顾客提供合格的</w:t>
            </w:r>
            <w:r>
              <w:rPr>
                <w:rFonts w:hint="eastAsia" w:ascii="宋体" w:hAnsi="宋体"/>
                <w:szCs w:val="21"/>
              </w:rPr>
              <w:t>资质许可范围内的普通货运，城市生活垃圾清扫、收集、运输，二类汽车维修（大中型客车维修、小型车维修、大型货车维修）活动</w:t>
            </w:r>
            <w:r>
              <w:rPr>
                <w:rFonts w:hint="eastAsia"/>
                <w:bCs/>
                <w:szCs w:val="21"/>
              </w:rPr>
              <w:t>及服务。</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rFonts w:hint="eastAsia" w:eastAsia="宋体"/>
                <w:b/>
                <w:color w:val="000000" w:themeColor="text1"/>
                <w:sz w:val="20"/>
                <w:szCs w:val="20"/>
                <w:lang w:val="en-US" w:eastAsia="zh-CN"/>
              </w:rPr>
            </w:pPr>
            <w:r>
              <w:rPr>
                <w:rFonts w:hint="eastAsia"/>
                <w:b/>
                <w:color w:val="000000" w:themeColor="text1"/>
                <w:sz w:val="20"/>
                <w:szCs w:val="20"/>
              </w:rPr>
              <w:t>（附相关证据）：</w:t>
            </w:r>
            <w:r>
              <w:rPr>
                <w:rFonts w:hint="eastAsia"/>
                <w:b/>
                <w:color w:val="000000" w:themeColor="text1"/>
                <w:sz w:val="20"/>
                <w:szCs w:val="20"/>
                <w:lang w:val="en-US" w:eastAsia="zh-CN"/>
              </w:rPr>
              <w:t>无</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pPr>
            <w:r>
              <w:rPr>
                <w:rFonts w:hint="eastAsia"/>
              </w:rPr>
              <w:t>6. 不合格品/项的识别、控制;</w:t>
            </w:r>
          </w:p>
          <w:p>
            <w:pPr>
              <w:spacing w:line="240" w:lineRule="exact"/>
            </w:pPr>
          </w:p>
          <w:p>
            <w:pPr>
              <w:spacing w:line="240" w:lineRule="exact"/>
            </w:pPr>
          </w:p>
          <w:p>
            <w:pPr>
              <w:pStyle w:val="2"/>
              <w:rPr>
                <w:rFonts w:ascii="宋体" w:hAnsi="宋体"/>
                <w:b/>
                <w:sz w:val="21"/>
                <w:szCs w:val="21"/>
              </w:rPr>
            </w:pPr>
            <w:r>
              <w:rPr>
                <w:rFonts w:hint="eastAsia" w:ascii="宋体" w:hAnsi="宋体" w:cs="宋体"/>
                <w:color w:val="auto"/>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auto"/>
                <w:sz w:val="20"/>
                <w:szCs w:val="20"/>
              </w:rPr>
            </w:pPr>
            <w:r>
              <w:rPr>
                <w:rFonts w:hint="eastAsia"/>
                <w:b/>
                <w:color w:val="auto"/>
                <w:sz w:val="20"/>
                <w:szCs w:val="20"/>
              </w:rPr>
              <w:t>7. EMS组织对重要环境因素实施控制的结果</w:t>
            </w:r>
          </w:p>
          <w:p>
            <w:pPr>
              <w:spacing w:line="240" w:lineRule="exact"/>
              <w:rPr>
                <w:b/>
                <w:color w:val="auto"/>
                <w:sz w:val="20"/>
                <w:szCs w:val="20"/>
              </w:rPr>
            </w:pPr>
            <w:r>
              <w:rPr>
                <w:rFonts w:hint="eastAsia"/>
                <w:b/>
                <w:color w:val="auto"/>
                <w:sz w:val="20"/>
                <w:szCs w:val="20"/>
              </w:rPr>
              <w:t>（EMS对重要环境因素控制，重大环境因素对周边环境产生的影响及控制;对相关方施加影响）</w:t>
            </w:r>
          </w:p>
          <w:p>
            <w:pPr>
              <w:spacing w:line="240" w:lineRule="exact"/>
              <w:rPr>
                <w:b/>
                <w:color w:val="auto"/>
                <w:sz w:val="20"/>
                <w:szCs w:val="20"/>
              </w:rPr>
            </w:pPr>
          </w:p>
          <w:p>
            <w:pPr>
              <w:pStyle w:val="5"/>
              <w:pBdr>
                <w:bottom w:val="none" w:color="auto" w:sz="0" w:space="0"/>
              </w:pBdr>
              <w:tabs>
                <w:tab w:val="center" w:pos="5737"/>
                <w:tab w:val="clear" w:pos="4153"/>
              </w:tabs>
              <w:jc w:val="left"/>
              <w:rPr>
                <w:rFonts w:ascii="宋体" w:hAnsi="宋体"/>
                <w:b/>
                <w:sz w:val="21"/>
                <w:szCs w:val="21"/>
              </w:rPr>
            </w:pPr>
            <w:r>
              <w:rPr>
                <w:rFonts w:hint="eastAsia"/>
                <w:bCs/>
                <w:color w:val="auto"/>
                <w:szCs w:val="21"/>
              </w:rPr>
              <w:t>对重要环境因素（</w:t>
            </w:r>
            <w:r>
              <w:rPr>
                <w:rStyle w:val="15"/>
                <w:rFonts w:hint="eastAsia" w:ascii="Arial" w:hAnsi="Arial" w:cs="Arial"/>
                <w:color w:val="auto"/>
                <w:shd w:val="clear" w:color="auto" w:fill="FFFFFF"/>
                <w:lang w:val="en-US" w:eastAsia="zh-CN"/>
              </w:rPr>
              <w:t>废水、废气、噪声、固</w:t>
            </w:r>
            <w:r>
              <w:rPr>
                <w:rStyle w:val="15"/>
                <w:rFonts w:hint="eastAsia" w:ascii="Arial" w:hAnsi="Arial" w:cs="Arial"/>
                <w:color w:val="auto"/>
                <w:shd w:val="clear" w:color="auto" w:fill="FFFFFF"/>
              </w:rPr>
              <w:t>体废弃物</w:t>
            </w:r>
            <w:r>
              <w:rPr>
                <w:rFonts w:hint="eastAsia"/>
                <w:bCs/>
                <w:color w:val="auto"/>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auto"/>
                <w:sz w:val="20"/>
                <w:szCs w:val="20"/>
              </w:rPr>
            </w:pPr>
            <w:r>
              <w:rPr>
                <w:rFonts w:hint="eastAsia"/>
                <w:b/>
                <w:color w:val="auto"/>
                <w:sz w:val="20"/>
                <w:szCs w:val="20"/>
              </w:rPr>
              <w:t>8. OHS 组织对不可接受风险实施控制的结果</w:t>
            </w:r>
          </w:p>
          <w:p>
            <w:pPr>
              <w:spacing w:line="240" w:lineRule="exact"/>
              <w:rPr>
                <w:b/>
                <w:color w:val="auto"/>
                <w:sz w:val="20"/>
                <w:szCs w:val="20"/>
              </w:rPr>
            </w:pPr>
          </w:p>
          <w:p>
            <w:pPr>
              <w:rPr>
                <w:rFonts w:ascii="宋体" w:hAnsi="宋体"/>
                <w:b/>
                <w:sz w:val="21"/>
                <w:szCs w:val="21"/>
              </w:rPr>
            </w:pPr>
            <w:r>
              <w:rPr>
                <w:rFonts w:hint="eastAsia"/>
                <w:bCs/>
                <w:color w:val="auto"/>
                <w:szCs w:val="21"/>
              </w:rPr>
              <w:t>对不可接受风险（</w:t>
            </w:r>
            <w:r>
              <w:rPr>
                <w:rStyle w:val="15"/>
                <w:rFonts w:hint="eastAsia" w:ascii="Arial" w:hAnsi="Arial" w:cs="Arial"/>
                <w:color w:val="auto"/>
                <w:shd w:val="clear" w:color="auto" w:fill="FFFFFF"/>
              </w:rPr>
              <w:t>潜在火灾</w:t>
            </w:r>
            <w:r>
              <w:rPr>
                <w:rStyle w:val="15"/>
                <w:rFonts w:hint="eastAsia" w:ascii="Arial" w:hAnsi="Arial" w:cs="Arial"/>
                <w:color w:val="auto"/>
                <w:shd w:val="clear" w:color="auto" w:fill="FFFFFF"/>
                <w:lang w:eastAsia="zh-CN"/>
              </w:rPr>
              <w:t>、</w:t>
            </w:r>
            <w:r>
              <w:rPr>
                <w:rStyle w:val="15"/>
                <w:rFonts w:hint="eastAsia" w:ascii="Arial" w:hAnsi="Arial" w:cs="Arial"/>
                <w:bCs w:val="0"/>
                <w:color w:val="auto"/>
                <w:spacing w:val="0"/>
                <w:shd w:val="clear" w:color="auto" w:fill="FFFFFF"/>
                <w:lang w:val="en-US" w:eastAsia="zh-CN"/>
              </w:rPr>
              <w:t>触电、</w:t>
            </w:r>
            <w:r>
              <w:rPr>
                <w:rStyle w:val="15"/>
                <w:rFonts w:hint="eastAsia" w:ascii="Arial" w:hAnsi="Arial" w:cs="Arial"/>
                <w:bCs w:val="0"/>
                <w:color w:val="auto"/>
                <w:spacing w:val="0"/>
                <w:shd w:val="clear" w:color="auto" w:fill="FFFFFF"/>
              </w:rPr>
              <w:t>意外伤害</w:t>
            </w:r>
            <w:r>
              <w:rPr>
                <w:rStyle w:val="15"/>
                <w:rFonts w:hint="eastAsia" w:ascii="Arial" w:hAnsi="Arial" w:cs="Arial"/>
                <w:bCs w:val="0"/>
                <w:color w:val="auto"/>
                <w:spacing w:val="0"/>
                <w:shd w:val="clear" w:color="auto" w:fill="FFFFFF"/>
                <w:lang w:eastAsia="zh-CN"/>
              </w:rPr>
              <w:t>、</w:t>
            </w:r>
            <w:r>
              <w:rPr>
                <w:rStyle w:val="15"/>
                <w:rFonts w:hint="eastAsia" w:ascii="Arial" w:hAnsi="Arial" w:cs="Arial"/>
                <w:bCs w:val="0"/>
                <w:color w:val="auto"/>
                <w:spacing w:val="0"/>
                <w:shd w:val="clear" w:color="auto" w:fill="FFFFFF"/>
                <w:lang w:val="en-US" w:eastAsia="zh-CN"/>
              </w:rPr>
              <w:t>机械伤害、职业病</w:t>
            </w:r>
            <w:r>
              <w:rPr>
                <w:rFonts w:hint="eastAsia"/>
                <w:bCs/>
                <w:color w:val="auto"/>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pPr>
          </w:p>
          <w:p>
            <w:pPr>
              <w:spacing w:line="240" w:lineRule="exact"/>
              <w:ind w:firstLine="120" w:firstLineChars="50"/>
              <w:rPr>
                <w:rFonts w:hint="eastAsia"/>
              </w:rPr>
            </w:pPr>
            <w:r>
              <w:rPr>
                <w:rFonts w:hint="eastAsia"/>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lang w:val="en-US" w:eastAsia="zh-CN"/>
              </w:rPr>
              <w:t>21年1-5</w:t>
            </w:r>
            <w:r>
              <w:rPr>
                <w:rFonts w:hint="eastAsia"/>
              </w:rPr>
              <w:t>月目标的测量，总体已达到或超过了规定的目标值。</w:t>
            </w:r>
          </w:p>
          <w:p>
            <w:pPr>
              <w:spacing w:line="240" w:lineRule="exact"/>
              <w:ind w:firstLine="105" w:firstLine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0" w:hanging="120" w:hangingChars="50"/>
            </w:pPr>
          </w:p>
          <w:p>
            <w:pPr>
              <w:spacing w:line="240" w:lineRule="exact"/>
              <w:ind w:left="105" w:hanging="120" w:hangingChars="50"/>
              <w:rPr>
                <w:rFonts w:hint="eastAsia"/>
              </w:rPr>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lang w:val="en-US" w:eastAsia="zh-CN"/>
              </w:rPr>
              <w:t>8</w:t>
            </w:r>
            <w:r>
              <w:rPr>
                <w:rFonts w:hint="eastAsia"/>
              </w:rPr>
              <w:t>分，总体实现了顾客满意度的质量目标要求</w:t>
            </w:r>
          </w:p>
          <w:p>
            <w:pPr>
              <w:spacing w:line="240" w:lineRule="exact"/>
              <w:ind w:left="105" w:leftChars="0" w:hanging="105" w:hanging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rFonts w:ascii="宋体" w:hAnsi="宋体"/>
                <w:b/>
                <w:sz w:val="21"/>
                <w:szCs w:val="21"/>
              </w:rPr>
            </w:pPr>
            <w:r>
              <w:rPr>
                <w:rFonts w:hint="eastAsia" w:ascii="宋体" w:hAnsi="宋体"/>
                <w:color w:val="auto"/>
                <w:szCs w:val="21"/>
              </w:rPr>
              <w:t>建立有《内部审核控制程序》，规定了内审频次一年一次，内审时间：</w:t>
            </w:r>
            <w:r>
              <w:rPr>
                <w:rFonts w:hint="eastAsia" w:ascii="宋体" w:hAnsi="宋体"/>
                <w:b/>
                <w:kern w:val="0"/>
                <w:sz w:val="24"/>
                <w:lang w:eastAsia="zh-CN"/>
              </w:rPr>
              <w:t>2020年11</w:t>
            </w:r>
            <w:r>
              <w:rPr>
                <w:rFonts w:hint="eastAsia" w:ascii="宋体" w:hAnsi="宋体"/>
                <w:b/>
                <w:kern w:val="0"/>
                <w:sz w:val="24"/>
              </w:rPr>
              <w:t>月20日</w:t>
            </w:r>
            <w:r>
              <w:rPr>
                <w:rFonts w:hint="eastAsia" w:ascii="宋体" w:hAnsi="宋体"/>
                <w:color w:val="auto"/>
                <w:szCs w:val="21"/>
              </w:rPr>
              <w:t>，拟定了审核实施表，明确了内审范围，内审人员经培训合格上岗，能力满足要求，未出现审核本部门情况，内审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auto"/>
                <w:szCs w:val="21"/>
              </w:rPr>
              <w:t>管理评审频次为一年一次、本次管理评审于</w:t>
            </w:r>
            <w:r>
              <w:rPr>
                <w:rFonts w:hint="eastAsia"/>
              </w:rPr>
              <w:t>2020年</w:t>
            </w:r>
            <w:r>
              <w:rPr>
                <w:rFonts w:hint="eastAsia"/>
                <w:lang w:val="en-US" w:eastAsia="zh-CN"/>
              </w:rPr>
              <w:t>11</w:t>
            </w:r>
            <w:r>
              <w:rPr>
                <w:rFonts w:hint="eastAsia"/>
              </w:rPr>
              <w:t>月</w:t>
            </w:r>
            <w:r>
              <w:rPr>
                <w:rFonts w:hint="eastAsia"/>
                <w:lang w:val="en-US" w:eastAsia="zh-CN"/>
              </w:rPr>
              <w:t>28</w:t>
            </w:r>
            <w:r>
              <w:rPr>
                <w:rFonts w:hint="eastAsia"/>
              </w:rPr>
              <w:t>日</w:t>
            </w:r>
            <w:r>
              <w:rPr>
                <w:rFonts w:hint="eastAsia" w:ascii="宋体" w:hAnsi="宋体" w:cs="宋体"/>
                <w:color w:val="auto"/>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lang w:val="en-US" w:eastAsia="zh-CN"/>
              </w:rPr>
              <w:t>提供有环境监测报告，见附件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ind w:firstLine="480" w:firstLineChars="200"/>
              <w:rPr>
                <w:rFonts w:hint="eastAsia"/>
                <w:color w:val="auto"/>
              </w:rPr>
            </w:pPr>
            <w:r>
              <w:rPr>
                <w:rFonts w:hint="eastAsia"/>
                <w:color w:val="auto"/>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val="en-US" w:eastAsia="zh-CN"/>
              </w:rPr>
              <w:t xml:space="preserve">  </w:t>
            </w: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val="en-US" w:eastAsia="zh-CN"/>
              </w:rPr>
              <w:t xml:space="preserve">  无</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1"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ascii="宋体" w:hAnsi="宋体"/>
                <w:szCs w:val="21"/>
              </w:rPr>
              <w:t>北京博宇汽车服务有限公司</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600" w:firstLineChars="250"/>
        <w:rPr>
          <w:b/>
          <w:sz w:val="21"/>
        </w:rPr>
      </w:pPr>
      <w:r>
        <w:rPr>
          <w:rFonts w:hint="eastAsia" w:eastAsiaTheme="minorEastAsia"/>
          <w:lang w:val="en-US" w:eastAsia="zh-CN"/>
        </w:rPr>
        <w:drawing>
          <wp:anchor distT="0" distB="0" distL="114300" distR="114300" simplePos="0" relativeHeight="251662336" behindDoc="0" locked="0" layoutInCell="1" allowOverlap="1">
            <wp:simplePos x="0" y="0"/>
            <wp:positionH relativeFrom="column">
              <wp:posOffset>2401570</wp:posOffset>
            </wp:positionH>
            <wp:positionV relativeFrom="paragraph">
              <wp:posOffset>173990</wp:posOffset>
            </wp:positionV>
            <wp:extent cx="1052830" cy="458470"/>
            <wp:effectExtent l="0" t="0" r="0" b="0"/>
            <wp:wrapSquare wrapText="bothSides"/>
            <wp:docPr id="14" name="图片 14" descr="5e1b667ee9cd54f6bb11e2cabbf02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e1b667ee9cd54f6bb11e2cabbf02e1"/>
                    <pic:cNvPicPr>
                      <a:picLocks noChangeAspect="1"/>
                    </pic:cNvPicPr>
                  </pic:nvPicPr>
                  <pic:blipFill>
                    <a:blip r:embed="rId6"/>
                    <a:stretch>
                      <a:fillRect/>
                    </a:stretch>
                  </pic:blipFill>
                  <pic:spPr>
                    <a:xfrm>
                      <a:off x="0" y="0"/>
                      <a:ext cx="1052830" cy="458470"/>
                    </a:xfrm>
                    <a:prstGeom prst="rect">
                      <a:avLst/>
                    </a:prstGeom>
                  </pic:spPr>
                </pic:pic>
              </a:graphicData>
            </a:graphic>
          </wp:anchor>
        </w:drawing>
      </w:r>
      <w:r>
        <w:rPr>
          <w:rFonts w:hint="eastAsia"/>
          <w:b/>
          <w:sz w:val="21"/>
        </w:rPr>
        <w:t>审核组组长（签名）：</w:t>
      </w:r>
      <w:r>
        <w:drawing>
          <wp:anchor distT="0" distB="0" distL="114300" distR="114300" simplePos="0" relativeHeight="251660288" behindDoc="0" locked="0" layoutInCell="1" allowOverlap="1">
            <wp:simplePos x="0" y="0"/>
            <wp:positionH relativeFrom="column">
              <wp:posOffset>1671955</wp:posOffset>
            </wp:positionH>
            <wp:positionV relativeFrom="paragraph">
              <wp:posOffset>-205740</wp:posOffset>
            </wp:positionV>
            <wp:extent cx="847725" cy="368300"/>
            <wp:effectExtent l="0" t="0" r="3175"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847725" cy="368300"/>
                    </a:xfrm>
                    <a:prstGeom prst="rect">
                      <a:avLst/>
                    </a:prstGeom>
                    <a:noFill/>
                    <a:ln>
                      <a:noFill/>
                    </a:ln>
                  </pic:spPr>
                </pic:pic>
              </a:graphicData>
            </a:graphic>
          </wp:anchor>
        </w:drawing>
      </w:r>
    </w:p>
    <w:p>
      <w:pPr>
        <w:snapToGrid w:val="0"/>
        <w:spacing w:before="163" w:beforeLines="50" w:line="320" w:lineRule="exact"/>
        <w:ind w:firstLine="600" w:firstLineChars="250"/>
        <w:rPr>
          <w:b/>
          <w:sz w:val="21"/>
        </w:rPr>
      </w:pPr>
      <w:r>
        <w:drawing>
          <wp:anchor distT="0" distB="0" distL="114300" distR="114300" simplePos="0" relativeHeight="251661312" behindDoc="0" locked="0" layoutInCell="1" allowOverlap="1">
            <wp:simplePos x="0" y="0"/>
            <wp:positionH relativeFrom="column">
              <wp:posOffset>1642745</wp:posOffset>
            </wp:positionH>
            <wp:positionV relativeFrom="paragraph">
              <wp:posOffset>59690</wp:posOffset>
            </wp:positionV>
            <wp:extent cx="631190" cy="424815"/>
            <wp:effectExtent l="0" t="0" r="3810" b="698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631190" cy="424815"/>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2021.6.21</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bookmarkStart w:id="26" w:name="_GoBack"/>
      <w:bookmarkEnd w:id="26"/>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pStyle w:val="2"/>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E712B3"/>
    <w:rsid w:val="583C11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info-content-text"/>
    <w:basedOn w:val="8"/>
    <w:qFormat/>
    <w:uiPriority w:val="0"/>
  </w:style>
  <w:style w:type="paragraph" w:customStyle="1" w:styleId="16">
    <w:name w:val="列出段落1"/>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2021-06-21T03:11:16Z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4A9DE04603524283A71D005909D60111</vt:lpwstr>
  </property>
</Properties>
</file>