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0"/>
          <w:szCs w:val="30"/>
          <w:u w:val="single"/>
        </w:rPr>
        <w:t>沙钢集团安阳永兴特钢有限公司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0013-2018-2021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0013-2018-2021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沙钢集团安阳永兴特钢有限公司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吴金林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ISC-2018-0256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2023-05-30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bookmarkEnd w:id="8"/>
            <w:r>
              <w:rPr>
                <w:rFonts w:hint="eastAsia" w:asciiTheme="majorEastAsia" w:hAnsiTheme="majorEastAsia" w:eastAsiaTheme="majorEastAsia" w:cstheme="majorEastAsia"/>
                <w:bCs/>
                <w:kern w:val="0"/>
                <w:sz w:val="24"/>
                <w:szCs w:val="24"/>
              </w:rPr>
              <w:t>第</w:t>
            </w:r>
            <w:r>
              <w:rPr>
                <w:rFonts w:hint="eastAsia" w:asciiTheme="majorEastAsia" w:hAnsiTheme="majorEastAsia" w:eastAsiaTheme="majorEastAsia" w:cstheme="majorEastAsia"/>
                <w:bCs/>
                <w:kern w:val="0"/>
                <w:sz w:val="24"/>
                <w:szCs w:val="24"/>
                <w:lang w:val="en-US" w:eastAsia="zh-CN"/>
              </w:rPr>
              <w:t>三</w:t>
            </w:r>
            <w:r>
              <w:rPr>
                <w:rFonts w:hint="eastAsia" w:asciiTheme="majorEastAsia" w:hAnsiTheme="majorEastAsia" w:eastAsiaTheme="majorEastAsia" w:cstheme="majorEastAsia"/>
                <w:bCs/>
                <w:kern w:val="0"/>
                <w:sz w:val="24"/>
                <w:szCs w:val="24"/>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2021年05月28日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黄金荣</w:t>
            </w:r>
            <w:r>
              <w:rPr>
                <w:rFonts w:ascii="宋体" w:hAnsi="宋体"/>
                <w:color w:val="000000"/>
                <w:szCs w:val="21"/>
                <w:shd w:val="clear" w:color="auto" w:fill="auto"/>
              </w:rPr>
              <w:t>中认协评[2018]249号ISC[S]0062</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王学武</w:t>
            </w:r>
            <w:r>
              <w:rPr>
                <w:rFonts w:ascii="宋体" w:hAnsi="宋体"/>
                <w:color w:val="000000"/>
                <w:szCs w:val="21"/>
                <w:shd w:val="clear" w:color="auto" w:fill="auto"/>
              </w:rPr>
              <w:t>2020-M1MMS-1274875</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尹彩侠</w:t>
            </w:r>
            <w:r>
              <w:rPr>
                <w:rFonts w:ascii="宋体" w:hAnsi="宋体"/>
                <w:color w:val="000000"/>
                <w:szCs w:val="21"/>
                <w:shd w:val="clear" w:color="auto" w:fill="auto"/>
              </w:rPr>
              <w:t>2019-M1MMS-1274272</w:t>
            </w:r>
          </w:p>
          <w:p>
            <w:pPr>
              <w:spacing w:line="240" w:lineRule="exact"/>
              <w:jc w:val="both"/>
              <w:rPr>
                <w:rFonts w:ascii="宋体" w:hAnsi="宋体"/>
                <w:color w:val="000000"/>
                <w:szCs w:val="21"/>
                <w:shd w:val="clear" w:color="auto" w:fill="auto"/>
              </w:rPr>
            </w:pPr>
            <w:r>
              <w:rPr>
                <w:rFonts w:ascii="宋体" w:hAnsi="宋体"/>
                <w:szCs w:val="21"/>
              </w:rPr>
              <w:t>韩友道</w:t>
            </w:r>
            <w:r>
              <w:rPr>
                <w:rFonts w:ascii="宋体" w:hAnsi="宋体"/>
                <w:color w:val="000000"/>
                <w:szCs w:val="21"/>
                <w:shd w:val="clear" w:color="auto" w:fill="auto"/>
              </w:rPr>
              <w:t>ISC-JSZJ-001</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bCs/>
                <w:szCs w:val="21"/>
              </w:rPr>
            </w:pPr>
            <w:r>
              <w:rPr>
                <w:rFonts w:hint="eastAsia" w:ascii="宋体" w:hAnsi="宋体"/>
                <w:bCs/>
                <w:szCs w:val="21"/>
              </w:rPr>
              <w:t>管理</w:t>
            </w:r>
            <w:r>
              <w:rPr>
                <w:rFonts w:ascii="宋体" w:hAnsi="宋体"/>
                <w:bCs/>
                <w:szCs w:val="21"/>
              </w:rPr>
              <w:t>层</w:t>
            </w:r>
            <w:r>
              <w:rPr>
                <w:rFonts w:hint="eastAsia" w:ascii="宋体" w:hAnsi="宋体"/>
                <w:bCs/>
                <w:szCs w:val="21"/>
              </w:rPr>
              <w:t>/</w:t>
            </w:r>
            <w:r>
              <w:rPr>
                <w:rFonts w:ascii="宋体" w:hAnsi="宋体"/>
                <w:bCs/>
                <w:szCs w:val="21"/>
              </w:rPr>
              <w:t>管理者代表</w:t>
            </w:r>
          </w:p>
          <w:p>
            <w:pPr>
              <w:jc w:val="center"/>
              <w:rPr>
                <w:rFonts w:hint="eastAsia" w:ascii="宋体" w:hAnsi="宋体"/>
                <w:bCs/>
                <w:szCs w:val="21"/>
              </w:rPr>
            </w:pPr>
            <w:r>
              <w:rPr>
                <w:rFonts w:hint="eastAsia" w:ascii="宋体" w:hAnsi="宋体" w:eastAsia="宋体" w:cs="宋体"/>
                <w:sz w:val="21"/>
                <w:szCs w:val="21"/>
                <w:lang w:eastAsia="zh-CN"/>
              </w:rPr>
              <w:t>设备能源环保处、</w:t>
            </w:r>
            <w:r>
              <w:rPr>
                <w:rFonts w:hint="eastAsia" w:ascii="宋体" w:hAnsi="宋体"/>
                <w:kern w:val="2"/>
                <w:sz w:val="21"/>
                <w:szCs w:val="21"/>
                <w:lang w:val="en-US" w:eastAsia="zh-CN" w:bidi="ar-SA"/>
              </w:rPr>
              <w:t>综合办公室</w:t>
            </w:r>
            <w:r>
              <w:rPr>
                <w:rFonts w:hint="eastAsia" w:eastAsia="新宋体"/>
                <w:szCs w:val="21"/>
                <w:lang w:val="en-US" w:eastAsia="zh-CN"/>
              </w:rPr>
              <w:t>、销售处、</w:t>
            </w:r>
            <w:r>
              <w:rPr>
                <w:rFonts w:hint="eastAsia" w:ascii="宋体" w:hAnsi="宋体" w:eastAsia="宋体" w:cs="宋体"/>
                <w:sz w:val="21"/>
                <w:szCs w:val="21"/>
                <w:lang w:eastAsia="zh-CN"/>
              </w:rPr>
              <w:t>技术质量处（理化中心）、</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szCs w:val="21"/>
                <w:lang w:val="en-US" w:eastAsia="zh-CN"/>
              </w:rPr>
              <w:t>轧钢厂</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w:t>
      </w:r>
      <w:r>
        <w:rPr>
          <w:rFonts w:hint="eastAsia" w:ascii="宋体" w:hAnsi="宋体" w:eastAsia="宋体" w:cs="宋体"/>
          <w:bCs/>
          <w:color w:val="auto"/>
          <w:kern w:val="0"/>
          <w:sz w:val="24"/>
          <w:szCs w:val="24"/>
        </w:rPr>
        <w:t>在沙钢集团安阳永兴特钢有限公司现场审核中，审核组分</w:t>
      </w:r>
      <w:r>
        <w:rPr>
          <w:rFonts w:hint="eastAsia" w:ascii="宋体" w:hAnsi="宋体" w:eastAsia="宋体" w:cs="宋体"/>
          <w:bCs/>
          <w:color w:val="auto"/>
          <w:kern w:val="0"/>
          <w:sz w:val="24"/>
          <w:szCs w:val="24"/>
          <w:lang w:val="en-US" w:eastAsia="zh-CN"/>
        </w:rPr>
        <w:t>三</w:t>
      </w:r>
      <w:r>
        <w:rPr>
          <w:rFonts w:hint="eastAsia" w:ascii="宋体" w:hAnsi="宋体" w:eastAsia="宋体" w:cs="宋体"/>
          <w:bCs/>
          <w:color w:val="auto"/>
          <w:kern w:val="0"/>
          <w:sz w:val="24"/>
          <w:szCs w:val="24"/>
        </w:rPr>
        <w:t>个组先、后抽样检查了涉及公司测量体系内的管理、生产、质量和环境等方面的</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个职能部门和</w:t>
      </w:r>
      <w:r>
        <w:rPr>
          <w:rFonts w:hint="eastAsia" w:ascii="宋体" w:hAnsi="宋体" w:eastAsia="宋体" w:cs="宋体"/>
          <w:bCs/>
          <w:color w:val="auto"/>
          <w:kern w:val="0"/>
          <w:sz w:val="24"/>
          <w:szCs w:val="24"/>
          <w:lang w:val="en-US" w:eastAsia="zh-CN"/>
        </w:rPr>
        <w:t>生产部门</w:t>
      </w:r>
      <w:r>
        <w:rPr>
          <w:rFonts w:hint="eastAsia" w:ascii="宋体" w:hAnsi="宋体" w:eastAsia="宋体" w:cs="宋体"/>
          <w:bCs/>
          <w:color w:val="auto"/>
          <w:kern w:val="0"/>
          <w:sz w:val="24"/>
          <w:szCs w:val="24"/>
        </w:rPr>
        <w:t xml:space="preserve"> 。覆盖了GB/T 19022-2003标准相关要素和体系涉及的主要范围。</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w:t>
      </w:r>
      <w:r>
        <w:rPr>
          <w:rFonts w:hint="eastAsia" w:ascii="宋体" w:hAnsi="宋体" w:eastAsia="宋体" w:cs="宋体"/>
          <w:bCs/>
          <w:color w:val="auto"/>
          <w:kern w:val="0"/>
          <w:sz w:val="24"/>
          <w:szCs w:val="24"/>
        </w:rPr>
        <w:t>原材料检验、产品出厂检验等测量过程及测量设备量值溯源。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asciiTheme="majorEastAsia" w:hAnsiTheme="majorEastAsia" w:eastAsiaTheme="majorEastAsia" w:cstheme="majorEastAsia"/>
          <w:color w:val="auto"/>
          <w:sz w:val="24"/>
          <w:szCs w:val="24"/>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公司领导层重视测量管理体系各项工作，配备完善了相关资源和设备</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企业根据测量体系质量方针，编制下发了2021年测量体系质量目标，共6条，目标可测量。各部门进行了分解，每月检</w:t>
      </w:r>
      <w:r>
        <w:rPr>
          <w:rFonts w:hint="eastAsia" w:ascii="宋体" w:hAnsi="宋体" w:eastAsia="宋体" w:cs="宋体"/>
          <w:bCs/>
          <w:color w:val="auto"/>
          <w:kern w:val="0"/>
          <w:sz w:val="24"/>
          <w:szCs w:val="24"/>
        </w:rPr>
        <w:t>查质量目标</w:t>
      </w:r>
      <w:r>
        <w:rPr>
          <w:rFonts w:hint="eastAsia" w:ascii="宋体" w:hAnsi="宋体" w:eastAsia="宋体" w:cs="宋体"/>
          <w:bCs/>
          <w:color w:val="auto"/>
          <w:kern w:val="0"/>
          <w:sz w:val="24"/>
          <w:szCs w:val="24"/>
          <w:lang w:val="en-US" w:eastAsia="zh-CN"/>
        </w:rPr>
        <w:t>完成情况，列入公司绩效考核。1月到4月份质量目标全部完成。</w:t>
      </w:r>
      <w:r>
        <w:rPr>
          <w:rFonts w:hint="eastAsia" w:ascii="宋体" w:hAnsi="宋体" w:eastAsia="宋体" w:cs="宋体"/>
          <w:bCs/>
          <w:color w:val="auto"/>
          <w:kern w:val="0"/>
          <w:sz w:val="24"/>
          <w:szCs w:val="24"/>
        </w:rPr>
        <w:t>沙钢集团安阳永兴特钢有限公司测量管理体系的符合性、有效性及持续改进，符合GB/T 19022-2003标准要求，</w:t>
      </w:r>
      <w:r>
        <w:rPr>
          <w:rFonts w:hint="eastAsia" w:asciiTheme="majorEastAsia" w:hAnsiTheme="majorEastAsia" w:eastAsiaTheme="majorEastAsia" w:cstheme="majorEastAsia"/>
          <w:color w:val="auto"/>
          <w:sz w:val="24"/>
          <w:szCs w:val="24"/>
        </w:rPr>
        <w:t>公司测量管理体系正常有序运行，较好地满足了公司可持续发展的需要。企业效益逐年提高。</w:t>
      </w:r>
    </w:p>
    <w:p>
      <w:pPr>
        <w:widowControl/>
        <w:spacing w:line="360" w:lineRule="auto"/>
        <w:rPr>
          <w:rFonts w:hint="eastAsia" w:ascii="宋体" w:hAnsi="宋体" w:eastAsia="宋体" w:cs="宋体"/>
          <w:bCs/>
          <w:color w:val="0070C0"/>
          <w:kern w:val="0"/>
          <w:sz w:val="24"/>
          <w:szCs w:val="24"/>
        </w:rPr>
      </w:pPr>
      <w:r>
        <w:rPr>
          <w:rFonts w:hint="eastAsia" w:ascii="宋体" w:hAnsi="宋体" w:eastAsia="宋体" w:cs="宋体"/>
          <w:bCs/>
          <w:color w:val="auto"/>
          <w:kern w:val="0"/>
          <w:sz w:val="24"/>
          <w:szCs w:val="24"/>
        </w:rPr>
        <w:t>2.内部审核和管理评审的情况：</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2.1公司于202</w:t>
      </w:r>
      <w:r>
        <w:rPr>
          <w:rFonts w:hint="eastAsia" w:ascii="宋体" w:hAnsi="宋体" w:eastAsia="宋体" w:cs="宋体"/>
          <w:bCs/>
          <w:color w:val="auto"/>
          <w:kern w:val="0"/>
          <w:sz w:val="24"/>
          <w:szCs w:val="24"/>
          <w:lang w:val="en-US" w:eastAsia="zh-CN"/>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26</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27</w:t>
      </w:r>
      <w:r>
        <w:rPr>
          <w:rFonts w:hint="eastAsia" w:ascii="宋体" w:hAnsi="宋体" w:eastAsia="宋体" w:cs="宋体"/>
          <w:bCs/>
          <w:color w:val="auto"/>
          <w:kern w:val="0"/>
          <w:sz w:val="24"/>
          <w:szCs w:val="24"/>
        </w:rPr>
        <w:t>日组织了公司测量管理体系，内审分</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个组，对公司</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个部门</w:t>
      </w:r>
      <w:r>
        <w:rPr>
          <w:rFonts w:hint="eastAsia" w:ascii="宋体" w:hAnsi="宋体" w:eastAsia="宋体" w:cs="宋体"/>
          <w:bCs/>
          <w:color w:val="auto"/>
          <w:kern w:val="0"/>
          <w:sz w:val="24"/>
          <w:szCs w:val="24"/>
          <w:lang w:val="en-US" w:eastAsia="zh-CN"/>
        </w:rPr>
        <w:t>和5分厂</w:t>
      </w:r>
      <w:r>
        <w:rPr>
          <w:rFonts w:hint="eastAsia" w:ascii="宋体" w:hAnsi="宋体" w:eastAsia="宋体" w:cs="宋体"/>
          <w:bCs/>
          <w:color w:val="auto"/>
          <w:kern w:val="0"/>
          <w:sz w:val="24"/>
          <w:szCs w:val="24"/>
        </w:rPr>
        <w:t>进行了审核，共开出了</w:t>
      </w:r>
      <w:r>
        <w:rPr>
          <w:rFonts w:hint="eastAsia" w:ascii="宋体" w:hAnsi="宋体" w:eastAsia="宋体" w:cs="宋体"/>
          <w:bCs/>
          <w:color w:val="auto"/>
          <w:kern w:val="0"/>
          <w:sz w:val="24"/>
          <w:szCs w:val="24"/>
          <w:lang w:val="en-US" w:eastAsia="zh-CN"/>
        </w:rPr>
        <w:t>24个问题</w:t>
      </w:r>
      <w:r>
        <w:rPr>
          <w:rFonts w:hint="eastAsia" w:ascii="宋体" w:hAnsi="宋体" w:eastAsia="宋体" w:cs="宋体"/>
          <w:bCs/>
          <w:color w:val="auto"/>
          <w:kern w:val="0"/>
          <w:sz w:val="24"/>
          <w:szCs w:val="24"/>
        </w:rPr>
        <w:t>项</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到目前为止问题项已全部</w:t>
      </w:r>
      <w:r>
        <w:rPr>
          <w:rFonts w:hint="eastAsia" w:ascii="宋体" w:hAnsi="宋体" w:eastAsia="宋体" w:cs="宋体"/>
          <w:bCs/>
          <w:color w:val="auto"/>
          <w:kern w:val="0"/>
          <w:sz w:val="24"/>
          <w:szCs w:val="24"/>
        </w:rPr>
        <w:t>完成整改。</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2.2管理评审情况：企业于20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日开展了单体系管理评审，会议由公司</w:t>
      </w:r>
      <w:r>
        <w:rPr>
          <w:rFonts w:hint="eastAsia" w:ascii="宋体" w:hAnsi="宋体" w:eastAsia="宋体" w:cs="宋体"/>
          <w:bCs/>
          <w:color w:val="auto"/>
          <w:kern w:val="0"/>
          <w:sz w:val="24"/>
          <w:szCs w:val="24"/>
          <w:lang w:val="en-US" w:eastAsia="zh-CN"/>
        </w:rPr>
        <w:t>副</w:t>
      </w:r>
      <w:r>
        <w:rPr>
          <w:rFonts w:hint="eastAsia" w:ascii="宋体" w:hAnsi="宋体" w:eastAsia="宋体" w:cs="宋体"/>
          <w:bCs/>
          <w:color w:val="auto"/>
          <w:kern w:val="0"/>
          <w:sz w:val="24"/>
          <w:szCs w:val="24"/>
        </w:rPr>
        <w:t>总经理</w:t>
      </w:r>
      <w:r>
        <w:rPr>
          <w:rFonts w:hint="eastAsia" w:ascii="宋体" w:hAnsi="宋体" w:eastAsia="宋体" w:cs="宋体"/>
          <w:bCs/>
          <w:color w:val="auto"/>
          <w:kern w:val="0"/>
          <w:sz w:val="24"/>
          <w:szCs w:val="24"/>
          <w:lang w:val="en-US" w:eastAsia="zh-CN"/>
        </w:rPr>
        <w:t>杨武</w:t>
      </w:r>
      <w:r>
        <w:rPr>
          <w:rFonts w:hint="eastAsia" w:ascii="宋体" w:hAnsi="宋体" w:eastAsia="宋体" w:cs="宋体"/>
          <w:bCs/>
          <w:color w:val="auto"/>
          <w:kern w:val="0"/>
          <w:sz w:val="24"/>
          <w:szCs w:val="24"/>
        </w:rPr>
        <w:t>主持，由</w:t>
      </w:r>
      <w:r>
        <w:rPr>
          <w:rFonts w:hint="eastAsia" w:ascii="宋体" w:hAnsi="宋体" w:eastAsia="宋体" w:cs="宋体"/>
          <w:bCs/>
          <w:color w:val="auto"/>
          <w:kern w:val="0"/>
          <w:sz w:val="24"/>
          <w:szCs w:val="24"/>
          <w:lang w:eastAsia="zh-CN"/>
        </w:rPr>
        <w:t>设备能源环保处</w:t>
      </w:r>
      <w:r>
        <w:rPr>
          <w:rFonts w:hint="eastAsia" w:ascii="宋体" w:hAnsi="宋体" w:eastAsia="宋体" w:cs="宋体"/>
          <w:bCs/>
          <w:color w:val="auto"/>
          <w:kern w:val="0"/>
          <w:sz w:val="24"/>
          <w:szCs w:val="24"/>
        </w:rPr>
        <w:t>汇报了体系运行情况。会议肯定了公司测量管理体系的充分性、有效性和适宜性。形成了管理评审报告</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3.为持续改进而策划的活动的进展企业对识别的关键测量过程进行了持续的控制，</w:t>
      </w: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铁含量</w:t>
      </w:r>
      <w:r>
        <w:rPr>
          <w:rFonts w:hint="eastAsia" w:ascii="宋体" w:hAnsi="宋体" w:eastAsia="宋体" w:cs="宋体"/>
          <w:color w:val="auto"/>
          <w:sz w:val="24"/>
          <w:szCs w:val="24"/>
        </w:rPr>
        <w:t>测量过程为关键测量过程，测量过程识别、测量设备配备、检定</w:t>
      </w:r>
      <w:r>
        <w:rPr>
          <w:rFonts w:hint="eastAsia" w:ascii="宋体" w:hAnsi="宋体" w:eastAsia="宋体" w:cs="宋体"/>
          <w:color w:val="auto"/>
          <w:sz w:val="24"/>
          <w:szCs w:val="24"/>
          <w:lang w:val="en-US" w:eastAsia="zh-CN"/>
        </w:rPr>
        <w:t>/</w:t>
      </w:r>
      <w:r>
        <w:rPr>
          <w:rFonts w:hint="eastAsia" w:ascii="宋体" w:hAnsi="宋体" w:eastAsia="宋体" w:cs="宋体"/>
          <w:bCs/>
          <w:color w:val="auto"/>
          <w:kern w:val="0"/>
          <w:sz w:val="24"/>
          <w:szCs w:val="24"/>
          <w:lang w:val="en-US" w:eastAsia="zh-CN"/>
        </w:rPr>
        <w:t>校准</w:t>
      </w:r>
      <w:r>
        <w:rPr>
          <w:rFonts w:hint="eastAsia" w:ascii="宋体" w:hAnsi="宋体" w:eastAsia="宋体" w:cs="宋体"/>
          <w:bCs/>
          <w:color w:val="auto"/>
          <w:kern w:val="0"/>
          <w:sz w:val="24"/>
          <w:szCs w:val="24"/>
        </w:rPr>
        <w:t>、验证，测量过程有效性确认，测量不确定度评定、测量过程控制和监视满足要求。</w:t>
      </w:r>
      <w:r>
        <w:rPr>
          <w:rFonts w:hint="eastAsia" w:ascii="宋体" w:hAnsi="宋体" w:eastAsia="宋体" w:cs="宋体"/>
          <w:bCs/>
          <w:color w:val="auto"/>
          <w:kern w:val="0"/>
          <w:sz w:val="24"/>
          <w:szCs w:val="24"/>
          <w:lang w:val="en-US" w:eastAsia="zh-CN"/>
        </w:rPr>
        <w:t>企业没有新增关</w:t>
      </w:r>
      <w:r>
        <w:rPr>
          <w:rFonts w:hint="eastAsia" w:ascii="宋体" w:hAnsi="宋体" w:eastAsia="宋体" w:cs="宋体"/>
          <w:color w:val="auto"/>
          <w:sz w:val="24"/>
          <w:szCs w:val="24"/>
          <w:lang w:val="en-US" w:eastAsia="zh-CN"/>
        </w:rPr>
        <w:t>键测量过程。</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a)计量要求的导出和验证：查</w:t>
      </w:r>
      <w:r>
        <w:rPr>
          <w:rFonts w:hint="eastAsia" w:ascii="宋体" w:hAnsi="宋体" w:eastAsia="宋体" w:cs="宋体"/>
          <w:bCs/>
          <w:color w:val="auto"/>
          <w:kern w:val="0"/>
          <w:sz w:val="24"/>
          <w:szCs w:val="24"/>
          <w:lang w:val="en-US" w:eastAsia="zh-CN"/>
        </w:rPr>
        <w:t>铁含量</w:t>
      </w:r>
      <w:r>
        <w:rPr>
          <w:rFonts w:hint="eastAsia" w:ascii="宋体" w:hAnsi="宋体" w:eastAsia="宋体" w:cs="宋体"/>
          <w:bCs/>
          <w:color w:val="auto"/>
          <w:kern w:val="0"/>
          <w:sz w:val="24"/>
          <w:szCs w:val="24"/>
        </w:rPr>
        <w:t>测量过程，计量要求导出方法正确，验证满足测量过程要求。祥见附件《计量要求导出及验证记录表》</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b)测量不确定评定：查</w:t>
      </w:r>
      <w:r>
        <w:rPr>
          <w:rFonts w:hint="eastAsia" w:ascii="宋体" w:hAnsi="宋体" w:eastAsia="宋体" w:cs="宋体"/>
          <w:color w:val="auto"/>
          <w:sz w:val="24"/>
          <w:szCs w:val="24"/>
          <w:lang w:val="en-US" w:eastAsia="zh-CN"/>
        </w:rPr>
        <w:t>铁含量</w:t>
      </w:r>
      <w:r>
        <w:rPr>
          <w:rFonts w:hint="eastAsia" w:ascii="宋体" w:hAnsi="宋体" w:eastAsia="宋体" w:cs="宋体"/>
          <w:bCs/>
          <w:color w:val="auto"/>
          <w:kern w:val="0"/>
          <w:sz w:val="24"/>
          <w:szCs w:val="24"/>
        </w:rPr>
        <w:t>测量过程，测量不确定度评定正确。祥见附件《测量不确定度评定》</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c)有效性确认：查</w:t>
      </w:r>
      <w:r>
        <w:rPr>
          <w:rFonts w:hint="eastAsia" w:ascii="宋体" w:hAnsi="宋体" w:eastAsia="宋体" w:cs="宋体"/>
          <w:color w:val="auto"/>
          <w:sz w:val="24"/>
          <w:szCs w:val="24"/>
          <w:lang w:val="en-US" w:eastAsia="zh-CN"/>
        </w:rPr>
        <w:t>铁含量</w:t>
      </w:r>
      <w:r>
        <w:rPr>
          <w:rFonts w:hint="eastAsia" w:ascii="宋体" w:hAnsi="宋体" w:eastAsia="宋体" w:cs="宋体"/>
          <w:bCs/>
          <w:color w:val="auto"/>
          <w:kern w:val="0"/>
          <w:sz w:val="24"/>
          <w:szCs w:val="24"/>
        </w:rPr>
        <w:t>测量过程有效性确认，满足要求。祥见附件《测量过程有效性确认》</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d)测量过程的控制：查</w:t>
      </w:r>
      <w:r>
        <w:rPr>
          <w:rFonts w:hint="eastAsia" w:ascii="宋体" w:hAnsi="宋体" w:eastAsia="宋体" w:cs="宋体"/>
          <w:color w:val="auto"/>
          <w:sz w:val="24"/>
          <w:szCs w:val="24"/>
          <w:lang w:val="en-US" w:eastAsia="zh-CN"/>
        </w:rPr>
        <w:t>铁含量</w:t>
      </w:r>
      <w:r>
        <w:rPr>
          <w:rFonts w:hint="eastAsia" w:ascii="宋体" w:hAnsi="宋体" w:eastAsia="宋体" w:cs="宋体"/>
          <w:bCs/>
          <w:color w:val="auto"/>
          <w:kern w:val="0"/>
          <w:sz w:val="24"/>
          <w:szCs w:val="24"/>
        </w:rPr>
        <w:t>计量测量过程，编制了控制规范，对测量人员、测量设备、测量环境进行控制，满足要求。</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e)测量过程的监视：查</w:t>
      </w:r>
      <w:r>
        <w:rPr>
          <w:rFonts w:hint="eastAsia" w:ascii="宋体" w:hAnsi="宋体" w:eastAsia="宋体" w:cs="宋体"/>
          <w:color w:val="auto"/>
          <w:sz w:val="24"/>
          <w:szCs w:val="24"/>
          <w:lang w:val="en-US" w:eastAsia="zh-CN"/>
        </w:rPr>
        <w:t>铁含量</w:t>
      </w:r>
      <w:r>
        <w:rPr>
          <w:rFonts w:hint="eastAsia" w:ascii="宋体" w:hAnsi="宋体" w:eastAsia="宋体" w:cs="宋体"/>
          <w:bCs/>
          <w:color w:val="auto"/>
          <w:kern w:val="0"/>
          <w:sz w:val="24"/>
          <w:szCs w:val="24"/>
        </w:rPr>
        <w:t>测量过程，采用统计技术进行控制和监视测量过程。祥见《测量过程监视记录》</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f)测量设备的溯源：公司</w:t>
      </w:r>
      <w:r>
        <w:rPr>
          <w:rFonts w:hint="eastAsia" w:ascii="宋体" w:hAnsi="宋体" w:eastAsia="宋体" w:cs="宋体"/>
          <w:bCs/>
          <w:color w:val="auto"/>
          <w:kern w:val="0"/>
          <w:sz w:val="24"/>
          <w:szCs w:val="24"/>
          <w:lang w:val="en-US" w:eastAsia="zh-CN"/>
        </w:rPr>
        <w:t>未建</w:t>
      </w:r>
      <w:r>
        <w:rPr>
          <w:rFonts w:hint="eastAsia" w:ascii="宋体" w:hAnsi="宋体" w:eastAsia="宋体" w:cs="宋体"/>
          <w:bCs/>
          <w:color w:val="auto"/>
          <w:kern w:val="0"/>
          <w:sz w:val="24"/>
          <w:szCs w:val="24"/>
        </w:rPr>
        <w:t>最高</w:t>
      </w:r>
      <w:r>
        <w:rPr>
          <w:rFonts w:hint="eastAsia" w:ascii="宋体" w:hAnsi="宋体" w:eastAsia="宋体" w:cs="宋体"/>
          <w:bCs/>
          <w:color w:val="auto"/>
          <w:kern w:val="0"/>
          <w:sz w:val="24"/>
          <w:szCs w:val="24"/>
          <w:lang w:val="en-US" w:eastAsia="zh-CN"/>
        </w:rPr>
        <w:t>计量</w:t>
      </w:r>
      <w:r>
        <w:rPr>
          <w:rFonts w:hint="eastAsia" w:ascii="宋体" w:hAnsi="宋体" w:eastAsia="宋体" w:cs="宋体"/>
          <w:bCs/>
          <w:color w:val="auto"/>
          <w:kern w:val="0"/>
          <w:sz w:val="24"/>
          <w:szCs w:val="24"/>
        </w:rPr>
        <w:t>标准，</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eastAsia="zh-CN"/>
        </w:rPr>
        <w:t>设备能源环保处</w:t>
      </w:r>
      <w:r>
        <w:rPr>
          <w:rFonts w:hint="eastAsia" w:ascii="宋体" w:hAnsi="宋体" w:eastAsia="宋体" w:cs="宋体"/>
          <w:bCs/>
          <w:color w:val="auto"/>
          <w:kern w:val="0"/>
          <w:sz w:val="24"/>
          <w:szCs w:val="24"/>
        </w:rPr>
        <w:t>负责组织委外检定/校准。公司测量设备委托</w:t>
      </w:r>
      <w:r>
        <w:rPr>
          <w:rFonts w:hint="eastAsia" w:ascii="宋体" w:hAnsi="宋体" w:eastAsia="宋体" w:cs="宋体"/>
          <w:bCs/>
          <w:color w:val="auto"/>
          <w:kern w:val="0"/>
          <w:sz w:val="24"/>
          <w:szCs w:val="24"/>
          <w:lang w:val="en-US" w:eastAsia="zh-CN"/>
        </w:rPr>
        <w:t>安阳市殷都区质量计量检测中心、张家港市检验检测中心等等检定/</w:t>
      </w:r>
      <w:r>
        <w:rPr>
          <w:rFonts w:hint="eastAsia" w:ascii="宋体" w:hAnsi="宋体" w:eastAsia="宋体" w:cs="宋体"/>
          <w:bCs/>
          <w:color w:val="auto"/>
          <w:kern w:val="0"/>
          <w:sz w:val="24"/>
          <w:szCs w:val="24"/>
        </w:rPr>
        <w:t>校准。抽查</w:t>
      </w:r>
      <w:r>
        <w:rPr>
          <w:rFonts w:hint="eastAsia" w:ascii="宋体" w:hAnsi="宋体" w:eastAsia="宋体" w:cs="宋体"/>
          <w:bCs/>
          <w:color w:val="auto"/>
          <w:kern w:val="0"/>
          <w:sz w:val="24"/>
          <w:szCs w:val="24"/>
          <w:lang w:val="en-US" w:eastAsia="zh-CN"/>
        </w:rPr>
        <w:t>9</w:t>
      </w:r>
      <w:r>
        <w:rPr>
          <w:rFonts w:hint="eastAsia" w:ascii="宋体" w:hAnsi="宋体" w:eastAsia="宋体" w:cs="宋体"/>
          <w:bCs/>
          <w:color w:val="auto"/>
          <w:kern w:val="0"/>
          <w:sz w:val="24"/>
          <w:szCs w:val="24"/>
        </w:rPr>
        <w:t>台测量设备检定/校准证书，溯源满足要求。祥见《测量设备溯源检查表》</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4.能源管理情况：企业消耗能源主要有：</w:t>
      </w:r>
      <w:r>
        <w:rPr>
          <w:rFonts w:hint="eastAsia" w:ascii="宋体" w:hAnsi="宋体" w:eastAsia="宋体" w:cs="宋体"/>
          <w:bCs/>
          <w:color w:val="auto"/>
          <w:kern w:val="0"/>
          <w:sz w:val="24"/>
          <w:szCs w:val="24"/>
          <w:lang w:eastAsia="zh-CN"/>
        </w:rPr>
        <w:t>动力煤、焦炭、电力、水、柴油</w:t>
      </w:r>
      <w:r>
        <w:rPr>
          <w:rFonts w:hint="eastAsia" w:ascii="宋体" w:hAnsi="宋体" w:eastAsia="宋体" w:cs="宋体"/>
          <w:bCs/>
          <w:color w:val="auto"/>
          <w:kern w:val="0"/>
          <w:sz w:val="24"/>
          <w:szCs w:val="24"/>
        </w:rPr>
        <w:t xml:space="preserve"> ，</w:t>
      </w:r>
      <w:r>
        <w:rPr>
          <w:rFonts w:hint="eastAsia" w:ascii="宋体" w:hAnsi="宋体" w:eastAsia="宋体" w:cs="宋体"/>
          <w:bCs/>
          <w:color w:val="auto"/>
          <w:kern w:val="0"/>
          <w:sz w:val="24"/>
          <w:szCs w:val="24"/>
          <w:lang w:val="en-US" w:eastAsia="zh-CN"/>
        </w:rPr>
        <w:t>2020</w:t>
      </w:r>
      <w:r>
        <w:rPr>
          <w:rFonts w:hint="eastAsia" w:ascii="宋体" w:hAnsi="宋体" w:eastAsia="宋体" w:cs="宋体"/>
          <w:bCs/>
          <w:color w:val="auto"/>
          <w:kern w:val="0"/>
          <w:sz w:val="24"/>
          <w:szCs w:val="24"/>
        </w:rPr>
        <w:t>年共消耗</w:t>
      </w:r>
      <w:r>
        <w:rPr>
          <w:rFonts w:hint="eastAsia" w:ascii="宋体" w:hAnsi="宋体" w:eastAsia="宋体" w:cs="宋体"/>
          <w:bCs/>
          <w:color w:val="auto"/>
          <w:kern w:val="0"/>
          <w:sz w:val="24"/>
          <w:szCs w:val="24"/>
          <w:lang w:val="en-US" w:eastAsia="zh-CN"/>
        </w:rPr>
        <w:t>116</w:t>
      </w:r>
      <w:r>
        <w:rPr>
          <w:rFonts w:hint="eastAsia" w:ascii="宋体" w:hAnsi="宋体" w:eastAsia="宋体" w:cs="宋体"/>
          <w:bCs/>
          <w:color w:val="auto"/>
          <w:kern w:val="0"/>
          <w:sz w:val="24"/>
          <w:szCs w:val="24"/>
        </w:rPr>
        <w:t>万吨标准煤，企业编制了《能源</w:t>
      </w:r>
      <w:r>
        <w:rPr>
          <w:rFonts w:hint="eastAsia" w:ascii="宋体" w:hAnsi="宋体" w:eastAsia="宋体" w:cs="宋体"/>
          <w:bCs/>
          <w:color w:val="auto"/>
          <w:kern w:val="0"/>
          <w:sz w:val="24"/>
          <w:szCs w:val="24"/>
          <w:lang w:val="en-US" w:eastAsia="zh-CN"/>
        </w:rPr>
        <w:t>管理网络图</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及能源基准标杆管理办法、水的供给和试用管理办法、蒸汽使用管理规定等能源计量管理制度</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eastAsia="zh-CN"/>
        </w:rPr>
        <w:t>设备能源环保处</w:t>
      </w:r>
      <w:r>
        <w:rPr>
          <w:rFonts w:hint="eastAsia" w:ascii="宋体" w:hAnsi="宋体" w:eastAsia="宋体" w:cs="宋体"/>
          <w:bCs/>
          <w:color w:val="auto"/>
          <w:kern w:val="0"/>
          <w:sz w:val="24"/>
          <w:szCs w:val="24"/>
        </w:rPr>
        <w:t>负责全厂能源管理</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 xml:space="preserve">进出用能单位应配 </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台（件），实配</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台（件）；进出主要次级用能单位应配</w:t>
      </w:r>
      <w:r>
        <w:rPr>
          <w:rFonts w:hint="eastAsia" w:ascii="宋体" w:hAnsi="宋体" w:eastAsia="宋体" w:cs="宋体"/>
          <w:bCs/>
          <w:color w:val="auto"/>
          <w:kern w:val="0"/>
          <w:sz w:val="24"/>
          <w:szCs w:val="24"/>
          <w:lang w:val="en-US" w:eastAsia="zh-CN"/>
        </w:rPr>
        <w:t>123</w:t>
      </w:r>
      <w:r>
        <w:rPr>
          <w:rFonts w:hint="eastAsia" w:ascii="宋体" w:hAnsi="宋体" w:eastAsia="宋体" w:cs="宋体"/>
          <w:bCs/>
          <w:color w:val="auto"/>
          <w:kern w:val="0"/>
          <w:sz w:val="24"/>
          <w:szCs w:val="24"/>
        </w:rPr>
        <w:t>台（件），实配</w:t>
      </w:r>
      <w:r>
        <w:rPr>
          <w:rFonts w:hint="eastAsia" w:ascii="宋体" w:hAnsi="宋体" w:eastAsia="宋体" w:cs="宋体"/>
          <w:bCs/>
          <w:color w:val="auto"/>
          <w:kern w:val="0"/>
          <w:sz w:val="24"/>
          <w:szCs w:val="24"/>
          <w:lang w:val="en-US" w:eastAsia="zh-CN"/>
        </w:rPr>
        <w:t>123</w:t>
      </w:r>
      <w:r>
        <w:rPr>
          <w:rFonts w:hint="eastAsia" w:ascii="宋体" w:hAnsi="宋体" w:eastAsia="宋体" w:cs="宋体"/>
          <w:bCs/>
          <w:color w:val="auto"/>
          <w:kern w:val="0"/>
          <w:sz w:val="24"/>
          <w:szCs w:val="24"/>
        </w:rPr>
        <w:t>台（件）；进出主要用能设备（单元）应配</w:t>
      </w:r>
      <w:r>
        <w:rPr>
          <w:rFonts w:hint="eastAsia" w:ascii="宋体" w:hAnsi="宋体" w:eastAsia="宋体" w:cs="宋体"/>
          <w:bCs/>
          <w:color w:val="auto"/>
          <w:kern w:val="0"/>
          <w:sz w:val="24"/>
          <w:szCs w:val="24"/>
          <w:lang w:val="en-US" w:eastAsia="zh-CN"/>
        </w:rPr>
        <w:t>407</w:t>
      </w:r>
      <w:r>
        <w:rPr>
          <w:rFonts w:hint="eastAsia" w:ascii="宋体" w:hAnsi="宋体" w:eastAsia="宋体" w:cs="宋体"/>
          <w:bCs/>
          <w:color w:val="auto"/>
          <w:kern w:val="0"/>
          <w:sz w:val="24"/>
          <w:szCs w:val="24"/>
        </w:rPr>
        <w:t>台（件），实配</w:t>
      </w:r>
      <w:r>
        <w:rPr>
          <w:rFonts w:hint="eastAsia" w:ascii="宋体" w:hAnsi="宋体" w:eastAsia="宋体" w:cs="宋体"/>
          <w:bCs/>
          <w:color w:val="auto"/>
          <w:kern w:val="0"/>
          <w:sz w:val="24"/>
          <w:szCs w:val="24"/>
          <w:lang w:val="en-US" w:eastAsia="zh-CN"/>
        </w:rPr>
        <w:t>402</w:t>
      </w:r>
      <w:r>
        <w:rPr>
          <w:rFonts w:hint="eastAsia" w:ascii="宋体" w:hAnsi="宋体" w:eastAsia="宋体" w:cs="宋体"/>
          <w:bCs/>
          <w:color w:val="auto"/>
          <w:kern w:val="0"/>
          <w:sz w:val="24"/>
          <w:szCs w:val="24"/>
        </w:rPr>
        <w:t>台（件）；配备率满足要求；查进出用能单位配备的编号为</w:t>
      </w:r>
      <w:r>
        <w:rPr>
          <w:rFonts w:hint="eastAsia" w:ascii="宋体" w:hAnsi="宋体" w:eastAsia="宋体" w:cs="宋体"/>
          <w:bCs/>
          <w:color w:val="auto"/>
          <w:kern w:val="0"/>
          <w:sz w:val="24"/>
          <w:szCs w:val="24"/>
          <w:lang w:val="en-US" w:eastAsia="zh-CN"/>
        </w:rPr>
        <w:t>Q01242-6KL电子汽车衡</w:t>
      </w:r>
      <w:r>
        <w:rPr>
          <w:rFonts w:hint="eastAsia" w:ascii="宋体" w:hAnsi="宋体" w:eastAsia="宋体" w:cs="宋体"/>
          <w:bCs/>
          <w:color w:val="auto"/>
          <w:kern w:val="0"/>
          <w:sz w:val="24"/>
          <w:szCs w:val="24"/>
        </w:rPr>
        <w:t>等测量设备20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08</w:t>
      </w:r>
      <w:r>
        <w:rPr>
          <w:rFonts w:hint="eastAsia" w:ascii="宋体" w:hAnsi="宋体" w:eastAsia="宋体" w:cs="宋体"/>
          <w:bCs/>
          <w:color w:val="auto"/>
          <w:kern w:val="0"/>
          <w:sz w:val="24"/>
          <w:szCs w:val="24"/>
        </w:rPr>
        <w:t>日经</w:t>
      </w:r>
      <w:r>
        <w:rPr>
          <w:rFonts w:hint="eastAsia" w:ascii="宋体" w:hAnsi="宋体" w:eastAsia="宋体" w:cs="宋体"/>
          <w:bCs/>
          <w:color w:val="auto"/>
          <w:kern w:val="0"/>
          <w:sz w:val="24"/>
          <w:szCs w:val="24"/>
          <w:lang w:eastAsia="zh-CN"/>
        </w:rPr>
        <w:t>安阳市殷都区质量计量检测中心</w:t>
      </w:r>
      <w:r>
        <w:rPr>
          <w:rFonts w:hint="eastAsia" w:ascii="宋体" w:hAnsi="宋体" w:eastAsia="宋体" w:cs="宋体"/>
          <w:bCs/>
          <w:color w:val="auto"/>
          <w:kern w:val="0"/>
          <w:sz w:val="24"/>
          <w:szCs w:val="24"/>
        </w:rPr>
        <w:t>检定，精度</w:t>
      </w:r>
      <w:r>
        <w:rPr>
          <w:rFonts w:hint="eastAsia" w:ascii="宋体" w:hAnsi="宋体" w:eastAsia="宋体" w:cs="宋体"/>
          <w:bCs/>
          <w:color w:val="auto"/>
          <w:kern w:val="0"/>
          <w:sz w:val="24"/>
          <w:szCs w:val="24"/>
        </w:rPr>
        <w:fldChar w:fldCharType="begin"/>
      </w:r>
      <w:r>
        <w:rPr>
          <w:rFonts w:hint="eastAsia" w:ascii="宋体" w:hAnsi="宋体" w:eastAsia="宋体" w:cs="宋体"/>
          <w:bCs/>
          <w:color w:val="auto"/>
          <w:kern w:val="0"/>
          <w:sz w:val="24"/>
          <w:szCs w:val="24"/>
        </w:rPr>
        <w:instrText xml:space="preserve"> EQ \o\ac(</w:instrText>
      </w:r>
      <w:r>
        <w:rPr>
          <w:rFonts w:hint="eastAsia" w:ascii="宋体" w:hAnsi="宋体" w:eastAsia="宋体" w:cs="宋体"/>
          <w:bCs/>
          <w:color w:val="auto"/>
          <w:kern w:val="0"/>
          <w:sz w:val="24"/>
          <w:szCs w:val="24"/>
          <w:lang w:val="en-US" w:eastAsia="zh-CN"/>
        </w:rPr>
        <w:instrText xml:space="preserve">○</w:instrText>
      </w:r>
      <w:r>
        <w:rPr>
          <w:rFonts w:hint="eastAsia" w:ascii="宋体" w:hAnsi="宋体" w:eastAsia="宋体" w:cs="宋体"/>
          <w:bCs/>
          <w:color w:val="auto"/>
          <w:kern w:val="0"/>
          <w:sz w:val="24"/>
          <w:szCs w:val="24"/>
        </w:rPr>
        <w:instrText xml:space="preserve">,Ⅲ)</w:instrText>
      </w:r>
      <w:r>
        <w:rPr>
          <w:rFonts w:hint="eastAsia" w:ascii="宋体" w:hAnsi="宋体" w:eastAsia="宋体" w:cs="宋体"/>
          <w:bCs/>
          <w:color w:val="auto"/>
          <w:kern w:val="0"/>
          <w:sz w:val="24"/>
          <w:szCs w:val="24"/>
        </w:rPr>
        <w:fldChar w:fldCharType="end"/>
      </w:r>
      <w:r>
        <w:rPr>
          <w:rFonts w:hint="eastAsia" w:ascii="宋体" w:hAnsi="宋体" w:eastAsia="宋体" w:cs="宋体"/>
          <w:bCs/>
          <w:color w:val="auto"/>
          <w:kern w:val="0"/>
          <w:sz w:val="24"/>
          <w:szCs w:val="24"/>
        </w:rPr>
        <w:t>级,查进出次级用能单位编号为</w:t>
      </w:r>
      <w:r>
        <w:rPr>
          <w:rFonts w:hint="eastAsia" w:ascii="宋体" w:hAnsi="宋体" w:eastAsia="宋体" w:cs="宋体"/>
          <w:bCs/>
          <w:color w:val="auto"/>
          <w:kern w:val="0"/>
          <w:sz w:val="24"/>
          <w:szCs w:val="24"/>
          <w:lang w:val="en-US" w:eastAsia="zh-CN"/>
        </w:rPr>
        <w:t>09036料斗秤</w:t>
      </w:r>
      <w:r>
        <w:rPr>
          <w:rFonts w:hint="eastAsia" w:ascii="宋体" w:hAnsi="宋体" w:eastAsia="宋体" w:cs="宋体"/>
          <w:bCs/>
          <w:color w:val="auto"/>
          <w:kern w:val="0"/>
          <w:sz w:val="24"/>
          <w:szCs w:val="24"/>
        </w:rPr>
        <w:t>等测量设备于20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23</w:t>
      </w:r>
      <w:r>
        <w:rPr>
          <w:rFonts w:hint="eastAsia" w:ascii="宋体" w:hAnsi="宋体" w:eastAsia="宋体" w:cs="宋体"/>
          <w:bCs/>
          <w:color w:val="auto"/>
          <w:kern w:val="0"/>
          <w:sz w:val="24"/>
          <w:szCs w:val="24"/>
        </w:rPr>
        <w:t>日检定，精度</w:t>
      </w:r>
      <w:r>
        <w:rPr>
          <w:rFonts w:hint="eastAsia" w:ascii="宋体" w:hAnsi="宋体" w:eastAsia="宋体" w:cs="宋体"/>
          <w:bCs/>
          <w:color w:val="auto"/>
          <w:kern w:val="0"/>
          <w:sz w:val="24"/>
          <w:szCs w:val="24"/>
          <w:lang w:val="en-US" w:eastAsia="zh-CN"/>
        </w:rPr>
        <w:t>0.5级</w:t>
      </w:r>
      <w:r>
        <w:rPr>
          <w:rFonts w:hint="eastAsia" w:ascii="宋体" w:hAnsi="宋体" w:eastAsia="宋体" w:cs="宋体"/>
          <w:bCs/>
          <w:color w:val="auto"/>
          <w:kern w:val="0"/>
          <w:sz w:val="24"/>
          <w:szCs w:val="24"/>
        </w:rPr>
        <w:t>，查重点耗能设备编号为</w:t>
      </w:r>
      <w:r>
        <w:rPr>
          <w:rFonts w:hint="eastAsia" w:ascii="宋体" w:hAnsi="宋体" w:eastAsia="宋体" w:cs="宋体"/>
          <w:bCs/>
          <w:color w:val="auto"/>
          <w:kern w:val="0"/>
          <w:sz w:val="24"/>
          <w:szCs w:val="24"/>
          <w:lang w:val="en-US" w:eastAsia="zh-CN"/>
        </w:rPr>
        <w:t xml:space="preserve">C1097喷吹罐秤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01</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30</w:t>
      </w:r>
      <w:r>
        <w:rPr>
          <w:rFonts w:hint="eastAsia" w:ascii="宋体" w:hAnsi="宋体" w:eastAsia="宋体" w:cs="宋体"/>
          <w:bCs/>
          <w:color w:val="auto"/>
          <w:kern w:val="0"/>
          <w:sz w:val="24"/>
          <w:szCs w:val="24"/>
        </w:rPr>
        <w:t>日检定，精度</w:t>
      </w:r>
      <w:r>
        <w:rPr>
          <w:rFonts w:hint="eastAsia" w:ascii="宋体" w:hAnsi="宋体" w:eastAsia="宋体" w:cs="宋体"/>
          <w:bCs/>
          <w:color w:val="auto"/>
          <w:kern w:val="0"/>
          <w:sz w:val="24"/>
          <w:szCs w:val="24"/>
          <w:lang w:val="en-US" w:eastAsia="zh-CN"/>
        </w:rPr>
        <w:t>0.5</w:t>
      </w:r>
      <w:r>
        <w:rPr>
          <w:rFonts w:hint="eastAsia" w:ascii="宋体" w:hAnsi="宋体" w:eastAsia="宋体" w:cs="宋体"/>
          <w:bCs/>
          <w:color w:val="auto"/>
          <w:kern w:val="0"/>
          <w:sz w:val="24"/>
          <w:szCs w:val="24"/>
        </w:rPr>
        <w:t>级，满足要求。 能源测量设备配备精度等级</w:t>
      </w:r>
      <w:r>
        <w:rPr>
          <w:rFonts w:hint="eastAsia" w:ascii="宋体" w:hAnsi="宋体" w:eastAsia="宋体" w:cs="宋体"/>
          <w:bCs/>
          <w:color w:val="auto"/>
          <w:kern w:val="0"/>
          <w:sz w:val="24"/>
          <w:szCs w:val="24"/>
          <w:lang w:val="en-US" w:eastAsia="zh-CN"/>
        </w:rPr>
        <w:t>及</w:t>
      </w:r>
      <w:r>
        <w:rPr>
          <w:rFonts w:hint="eastAsia" w:ascii="宋体" w:hAnsi="宋体" w:eastAsia="宋体" w:cs="宋体"/>
          <w:bCs/>
          <w:color w:val="auto"/>
          <w:kern w:val="0"/>
          <w:sz w:val="24"/>
          <w:szCs w:val="24"/>
        </w:rPr>
        <w:t>检定</w:t>
      </w:r>
      <w:r>
        <w:rPr>
          <w:rFonts w:hint="eastAsia" w:ascii="宋体" w:hAnsi="宋体" w:eastAsia="宋体" w:cs="宋体"/>
          <w:bCs/>
          <w:color w:val="auto"/>
          <w:kern w:val="0"/>
          <w:sz w:val="24"/>
          <w:szCs w:val="24"/>
          <w:lang w:val="en-US" w:eastAsia="zh-CN"/>
        </w:rPr>
        <w:t>/校准</w:t>
      </w:r>
      <w:r>
        <w:rPr>
          <w:rFonts w:hint="eastAsia" w:ascii="宋体" w:hAnsi="宋体" w:eastAsia="宋体" w:cs="宋体"/>
          <w:bCs/>
          <w:color w:val="auto"/>
          <w:kern w:val="0"/>
          <w:sz w:val="24"/>
          <w:szCs w:val="24"/>
          <w:lang w:eastAsia="zh-CN"/>
        </w:rPr>
        <w:t>均</w:t>
      </w:r>
      <w:r>
        <w:rPr>
          <w:rFonts w:hint="eastAsia" w:ascii="宋体" w:hAnsi="宋体" w:eastAsia="宋体" w:cs="宋体"/>
          <w:bCs/>
          <w:color w:val="auto"/>
          <w:kern w:val="0"/>
          <w:sz w:val="24"/>
          <w:szCs w:val="24"/>
        </w:rPr>
        <w:t>满足要求。企业能源数据每</w:t>
      </w:r>
      <w:r>
        <w:rPr>
          <w:rFonts w:hint="eastAsia" w:ascii="宋体" w:hAnsi="宋体" w:eastAsia="宋体" w:cs="宋体"/>
          <w:bCs/>
          <w:color w:val="auto"/>
          <w:kern w:val="0"/>
          <w:sz w:val="24"/>
          <w:szCs w:val="24"/>
          <w:lang w:eastAsia="zh-CN"/>
        </w:rPr>
        <w:t>日</w:t>
      </w:r>
      <w:r>
        <w:rPr>
          <w:rFonts w:hint="eastAsia" w:ascii="宋体" w:hAnsi="宋体" w:eastAsia="宋体" w:cs="宋体"/>
          <w:bCs/>
          <w:color w:val="auto"/>
          <w:kern w:val="0"/>
          <w:sz w:val="24"/>
          <w:szCs w:val="24"/>
        </w:rPr>
        <w:t>由各使用单位</w:t>
      </w:r>
      <w:r>
        <w:rPr>
          <w:rFonts w:hint="eastAsia" w:ascii="宋体" w:hAnsi="宋体" w:eastAsia="宋体" w:cs="宋体"/>
          <w:bCs/>
          <w:color w:val="auto"/>
          <w:kern w:val="0"/>
          <w:sz w:val="24"/>
          <w:szCs w:val="24"/>
          <w:lang w:eastAsia="zh-CN"/>
        </w:rPr>
        <w:t>通过</w:t>
      </w:r>
      <w:r>
        <w:rPr>
          <w:rFonts w:hint="eastAsia" w:ascii="宋体" w:hAnsi="宋体" w:eastAsia="宋体" w:cs="宋体"/>
          <w:bCs/>
          <w:color w:val="auto"/>
          <w:kern w:val="0"/>
          <w:sz w:val="24"/>
          <w:szCs w:val="24"/>
          <w:lang w:val="en-US" w:eastAsia="zh-CN"/>
        </w:rPr>
        <w:t>能源监测系统平台</w:t>
      </w:r>
      <w:r>
        <w:rPr>
          <w:rFonts w:hint="eastAsia" w:ascii="宋体" w:hAnsi="宋体" w:eastAsia="宋体" w:cs="宋体"/>
          <w:bCs/>
          <w:color w:val="auto"/>
          <w:kern w:val="0"/>
          <w:sz w:val="24"/>
          <w:szCs w:val="24"/>
        </w:rPr>
        <w:t>上报，</w:t>
      </w:r>
      <w:r>
        <w:rPr>
          <w:rFonts w:hint="eastAsia" w:ascii="宋体" w:hAnsi="宋体" w:eastAsia="宋体" w:cs="宋体"/>
          <w:bCs/>
          <w:color w:val="auto"/>
          <w:kern w:val="0"/>
          <w:sz w:val="24"/>
          <w:szCs w:val="24"/>
          <w:lang w:eastAsia="zh-CN"/>
        </w:rPr>
        <w:t>设备能源环保处</w:t>
      </w:r>
      <w:r>
        <w:rPr>
          <w:rFonts w:hint="eastAsia" w:ascii="宋体" w:hAnsi="宋体" w:eastAsia="宋体" w:cs="宋体"/>
          <w:bCs/>
          <w:color w:val="auto"/>
          <w:kern w:val="0"/>
          <w:sz w:val="24"/>
          <w:szCs w:val="24"/>
        </w:rPr>
        <w:t>每</w:t>
      </w:r>
      <w:r>
        <w:rPr>
          <w:rFonts w:hint="eastAsia" w:ascii="宋体" w:hAnsi="宋体" w:eastAsia="宋体" w:cs="宋体"/>
          <w:bCs/>
          <w:color w:val="auto"/>
          <w:kern w:val="0"/>
          <w:sz w:val="24"/>
          <w:szCs w:val="24"/>
          <w:lang w:eastAsia="zh-CN"/>
        </w:rPr>
        <w:t>日</w:t>
      </w:r>
      <w:r>
        <w:rPr>
          <w:rFonts w:hint="eastAsia" w:ascii="宋体" w:hAnsi="宋体" w:eastAsia="宋体" w:cs="宋体"/>
          <w:bCs/>
          <w:color w:val="auto"/>
          <w:kern w:val="0"/>
          <w:sz w:val="24"/>
          <w:szCs w:val="24"/>
        </w:rPr>
        <w:t>平衡分析，对重要的能源数据能定期进行监视核查，能源计量管理满足GB17167要求。</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5.对认证审核时提出的的不符合项的纠正措施情况： </w:t>
      </w:r>
    </w:p>
    <w:p>
      <w:pPr>
        <w:widowControl/>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监督</w:t>
      </w:r>
      <w:r>
        <w:rPr>
          <w:rFonts w:hint="eastAsia" w:ascii="宋体" w:hAnsi="宋体" w:eastAsia="宋体" w:cs="宋体"/>
          <w:bCs/>
          <w:color w:val="auto"/>
          <w:kern w:val="0"/>
          <w:sz w:val="24"/>
          <w:szCs w:val="24"/>
        </w:rPr>
        <w:t>审</w:t>
      </w:r>
      <w:r>
        <w:rPr>
          <w:rFonts w:hint="eastAsia" w:ascii="宋体" w:hAnsi="宋体" w:eastAsia="宋体" w:cs="宋体"/>
          <w:bCs/>
          <w:color w:val="auto"/>
          <w:kern w:val="0"/>
          <w:sz w:val="24"/>
          <w:szCs w:val="24"/>
          <w:lang w:val="en-US" w:eastAsia="zh-CN"/>
        </w:rPr>
        <w:t>核未开具</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numPr>
          <w:ilvl w:val="0"/>
          <w:numId w:val="1"/>
        </w:num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测量管理体系在实现获证客户目标方面的有效性及持续的运作控制情况：</w:t>
      </w:r>
    </w:p>
    <w:p>
      <w:pPr>
        <w:widowControl/>
        <w:numPr>
          <w:ilvl w:val="0"/>
          <w:numId w:val="0"/>
        </w:numPr>
        <w:spacing w:line="360" w:lineRule="auto"/>
        <w:ind w:firstLine="480" w:firstLineChars="200"/>
        <w:rPr>
          <w:rFonts w:hint="eastAsia" w:ascii="宋体" w:hAnsi="宋体" w:eastAsia="宋体" w:cs="宋体"/>
          <w:bCs/>
          <w:color w:val="auto"/>
          <w:kern w:val="0"/>
          <w:sz w:val="24"/>
          <w:szCs w:val="24"/>
        </w:rPr>
      </w:pPr>
      <w:r>
        <w:rPr>
          <w:rFonts w:hint="eastAsia" w:ascii="宋体" w:hAnsi="宋体"/>
          <w:color w:val="auto"/>
          <w:sz w:val="24"/>
          <w:szCs w:val="24"/>
          <w:lang w:val="en-US" w:eastAsia="zh-CN"/>
        </w:rPr>
        <w:t>企业根据测量体系质量方针，编制下发了2021年测量体系质量目标，共6条，目标可测量。各部门进行了分解，每月检</w:t>
      </w:r>
      <w:r>
        <w:rPr>
          <w:rFonts w:hint="eastAsia" w:ascii="宋体" w:hAnsi="宋体"/>
          <w:color w:val="auto"/>
          <w:sz w:val="24"/>
          <w:szCs w:val="24"/>
        </w:rPr>
        <w:t>查质量目标</w:t>
      </w:r>
      <w:r>
        <w:rPr>
          <w:rFonts w:hint="eastAsia" w:ascii="宋体" w:hAnsi="宋体"/>
          <w:color w:val="auto"/>
          <w:sz w:val="24"/>
          <w:szCs w:val="24"/>
          <w:lang w:val="en-US" w:eastAsia="zh-CN"/>
        </w:rPr>
        <w:t>完成情况，列入公司绩效考核。1月到4月份质量目标全部完成。。</w:t>
      </w:r>
      <w:r>
        <w:rPr>
          <w:rFonts w:hint="eastAsia" w:ascii="宋体" w:hAnsi="宋体"/>
          <w:color w:val="auto"/>
          <w:sz w:val="24"/>
          <w:szCs w:val="24"/>
        </w:rPr>
        <w:t>进一步满足顾客、质量、服务等方面的要求，符合GB/T 19022-2003标准要求。使其更具有动态性和适</w:t>
      </w:r>
      <w:r>
        <w:rPr>
          <w:rFonts w:hint="eastAsia" w:ascii="宋体" w:hAnsi="宋体"/>
          <w:color w:val="auto"/>
          <w:sz w:val="24"/>
          <w:szCs w:val="24"/>
          <w:lang w:val="en-US" w:eastAsia="zh-CN"/>
        </w:rPr>
        <w:t>宜</w:t>
      </w:r>
      <w:r>
        <w:rPr>
          <w:rFonts w:hint="eastAsia" w:ascii="宋体" w:hAnsi="宋体"/>
          <w:color w:val="auto"/>
          <w:sz w:val="24"/>
          <w:szCs w:val="24"/>
        </w:rPr>
        <w:t>性、</w:t>
      </w:r>
      <w:r>
        <w:rPr>
          <w:rFonts w:hint="eastAsia" w:ascii="宋体" w:hAnsi="宋体" w:eastAsia="宋体" w:cs="宋体"/>
          <w:bCs/>
          <w:color w:val="auto"/>
          <w:kern w:val="0"/>
          <w:sz w:val="24"/>
          <w:szCs w:val="24"/>
        </w:rPr>
        <w:t>有效性及对持续运作的控制。</w:t>
      </w:r>
      <w:bookmarkStart w:id="11" w:name="_GoBack"/>
      <w:bookmarkEnd w:id="11"/>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企业营业执照未发生变化。</w:t>
      </w:r>
      <w:r>
        <w:rPr>
          <w:rFonts w:hint="eastAsia" w:ascii="宋体" w:hAnsi="宋体" w:eastAsia="宋体" w:cs="宋体"/>
          <w:bCs/>
          <w:color w:val="auto"/>
          <w:kern w:val="0"/>
          <w:sz w:val="24"/>
          <w:szCs w:val="24"/>
          <w:lang w:val="en-US" w:eastAsia="zh-CN"/>
        </w:rPr>
        <w:t>企业组织机构于2021.3.8进行了变更。撤销经营处，设立销售处、供应处，查：企业测量体系机构图和相关文件未更新，要求企业整改。</w:t>
      </w:r>
    </w:p>
    <w:p>
      <w:pPr>
        <w:widowControl/>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rPr>
          <w:rFonts w:hint="eastAsia" w:ascii="宋体" w:hAnsi="宋体"/>
          <w:color w:val="auto"/>
          <w:sz w:val="24"/>
          <w:szCs w:val="24"/>
        </w:rPr>
      </w:pPr>
      <w:r>
        <w:rPr>
          <w:rFonts w:hint="eastAsia" w:cs="宋体" w:asciiTheme="minorEastAsia" w:hAnsiTheme="minorEastAsia"/>
          <w:bCs/>
          <w:color w:val="auto"/>
          <w:kern w:val="0"/>
          <w:sz w:val="24"/>
          <w:szCs w:val="24"/>
          <w:lang w:val="en-US" w:eastAsia="zh-CN"/>
        </w:rPr>
        <w:t>9.</w:t>
      </w: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w:t>
      </w:r>
      <w:r>
        <w:rPr>
          <w:rFonts w:hint="eastAsia" w:ascii="宋体" w:hAnsi="宋体"/>
          <w:color w:val="auto"/>
          <w:sz w:val="24"/>
          <w:szCs w:val="24"/>
          <w:highlight w:val="none"/>
        </w:rPr>
        <w:t>发现一般不符合项 ，未发现严重或系统性的不符合情况</w:t>
      </w:r>
      <w:r>
        <w:rPr>
          <w:rFonts w:hint="eastAsia" w:ascii="宋体" w:hAnsi="宋体"/>
          <w:color w:val="auto"/>
          <w:sz w:val="24"/>
          <w:szCs w:val="24"/>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C00000"/>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28</w:t>
      </w:r>
      <w:r>
        <w:rPr>
          <w:rFonts w:hint="eastAsia" w:ascii="宋体" w:hAnsi="宋体" w:eastAsia="宋体" w:cs="宋体"/>
          <w:bCs/>
          <w:color w:val="auto"/>
          <w:kern w:val="0"/>
          <w:sz w:val="24"/>
          <w:szCs w:val="24"/>
        </w:rPr>
        <w:t>日，</w:t>
      </w:r>
      <w:r>
        <w:rPr>
          <w:rFonts w:hint="eastAsia" w:cs="宋体" w:asciiTheme="minorEastAsia" w:hAnsiTheme="minorEastAsia"/>
          <w:bCs/>
          <w:color w:val="auto"/>
          <w:kern w:val="0"/>
          <w:sz w:val="24"/>
          <w:szCs w:val="24"/>
        </w:rPr>
        <w:t>对沙钢集团安阳永兴特钢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沙钢集团安阳永兴特钢有限公司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r>
        <w:rPr>
          <w:rFonts w:hint="eastAsia"/>
          <w:color w:val="auto"/>
          <w:sz w:val="24"/>
          <w:szCs w:val="24"/>
        </w:rPr>
        <w:drawing>
          <wp:anchor distT="0" distB="0" distL="114300" distR="114300" simplePos="0" relativeHeight="251659264" behindDoc="0" locked="0" layoutInCell="1" allowOverlap="1">
            <wp:simplePos x="0" y="0"/>
            <wp:positionH relativeFrom="column">
              <wp:posOffset>1645920</wp:posOffset>
            </wp:positionH>
            <wp:positionV relativeFrom="paragraph">
              <wp:posOffset>264795</wp:posOffset>
            </wp:positionV>
            <wp:extent cx="614680" cy="385445"/>
            <wp:effectExtent l="0" t="0" r="0" b="5080"/>
            <wp:wrapNone/>
            <wp:docPr id="1"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 xml:space="preserve">审核组组长（签字）：                           </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日 期：</w:t>
      </w:r>
      <w:r>
        <w:rPr>
          <w:rFonts w:hint="eastAsia" w:ascii="宋体" w:hAnsi="宋体" w:eastAsia="宋体" w:cs="宋体"/>
          <w:bCs/>
          <w:color w:val="auto"/>
          <w:kern w:val="0"/>
          <w:sz w:val="24"/>
          <w:szCs w:val="24"/>
          <w:lang w:val="en-US" w:eastAsia="zh-CN"/>
        </w:rPr>
        <w:t>2021.5.28</w:t>
      </w:r>
    </w:p>
    <w:p>
      <w:pPr>
        <w:widowControl/>
        <w:spacing w:line="360" w:lineRule="auto"/>
        <w:rPr>
          <w:rFonts w:hint="eastAsia" w:ascii="宋体" w:hAnsi="宋体" w:eastAsia="宋体" w:cs="宋体"/>
          <w:bCs/>
          <w:color w:val="auto"/>
          <w:kern w:val="0"/>
          <w:sz w:val="24"/>
          <w:szCs w:val="24"/>
        </w:rPr>
      </w:pPr>
    </w:p>
    <w:p>
      <w:pPr>
        <w:widowControl/>
        <w:spacing w:line="360" w:lineRule="auto"/>
        <w:rPr>
          <w:rFonts w:hint="eastAsia" w:ascii="宋体" w:hAnsi="宋体" w:eastAsia="宋体" w:cs="宋体"/>
          <w:bCs/>
          <w:color w:val="auto"/>
          <w:kern w:val="0"/>
          <w:sz w:val="24"/>
          <w:szCs w:val="24"/>
        </w:rPr>
      </w:pPr>
      <w:r>
        <w:rPr>
          <w:rFonts w:hint="eastAsia" w:eastAsia="宋体"/>
          <w:color w:val="auto"/>
          <w:szCs w:val="21"/>
          <w:lang w:eastAsia="zh-CN"/>
        </w:rPr>
        <w:drawing>
          <wp:anchor distT="0" distB="0" distL="114300" distR="114300" simplePos="0" relativeHeight="251668480" behindDoc="0" locked="0" layoutInCell="1" allowOverlap="1">
            <wp:simplePos x="0" y="0"/>
            <wp:positionH relativeFrom="column">
              <wp:posOffset>3166110</wp:posOffset>
            </wp:positionH>
            <wp:positionV relativeFrom="paragraph">
              <wp:posOffset>-98425</wp:posOffset>
            </wp:positionV>
            <wp:extent cx="728345" cy="359410"/>
            <wp:effectExtent l="0" t="0" r="5080" b="2540"/>
            <wp:wrapNone/>
            <wp:docPr id="6" name="图片 5" descr="be01513b58a15a7c9acacdcd750e5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be01513b58a15a7c9acacdcd750e5ea"/>
                    <pic:cNvPicPr>
                      <a:picLocks noChangeAspect="1"/>
                    </pic:cNvPicPr>
                  </pic:nvPicPr>
                  <pic:blipFill>
                    <a:blip r:embed="rId7"/>
                    <a:stretch>
                      <a:fillRect/>
                    </a:stretch>
                  </pic:blipFill>
                  <pic:spPr>
                    <a:xfrm>
                      <a:off x="0" y="0"/>
                      <a:ext cx="728345" cy="359410"/>
                    </a:xfrm>
                    <a:prstGeom prst="rect">
                      <a:avLst/>
                    </a:prstGeom>
                    <a:noFill/>
                    <a:ln>
                      <a:noFill/>
                    </a:ln>
                  </pic:spPr>
                </pic:pic>
              </a:graphicData>
            </a:graphic>
          </wp:anchor>
        </w:drawing>
      </w:r>
      <w:r>
        <w:rPr>
          <w:rFonts w:hint="eastAsia" w:eastAsia="宋体"/>
          <w:color w:val="auto"/>
          <w:szCs w:val="21"/>
          <w:lang w:eastAsia="zh-CN"/>
        </w:rPr>
        <w:drawing>
          <wp:anchor distT="0" distB="0" distL="114300" distR="114300" simplePos="0" relativeHeight="251665408" behindDoc="0" locked="0" layoutInCell="1" allowOverlap="1">
            <wp:simplePos x="0" y="0"/>
            <wp:positionH relativeFrom="column">
              <wp:posOffset>2284095</wp:posOffset>
            </wp:positionH>
            <wp:positionV relativeFrom="paragraph">
              <wp:posOffset>-62865</wp:posOffset>
            </wp:positionV>
            <wp:extent cx="742950" cy="409575"/>
            <wp:effectExtent l="0" t="0" r="0" b="0"/>
            <wp:wrapNone/>
            <wp:docPr id="5" name="图片 4" descr="e298d07a681d7207e5aed7b4efc2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298d07a681d7207e5aed7b4efc239b"/>
                    <pic:cNvPicPr>
                      <a:picLocks noChangeAspect="1"/>
                    </pic:cNvPicPr>
                  </pic:nvPicPr>
                  <pic:blipFill>
                    <a:blip r:embed="rId8"/>
                    <a:stretch>
                      <a:fillRect/>
                    </a:stretch>
                  </pic:blipFill>
                  <pic:spPr>
                    <a:xfrm>
                      <a:off x="0" y="0"/>
                      <a:ext cx="742950" cy="409575"/>
                    </a:xfrm>
                    <a:prstGeom prst="rect">
                      <a:avLst/>
                    </a:prstGeom>
                    <a:noFill/>
                    <a:ln>
                      <a:noFill/>
                    </a:ln>
                  </pic:spPr>
                </pic:pic>
              </a:graphicData>
            </a:graphic>
          </wp:anchor>
        </w:drawing>
      </w:r>
      <w:r>
        <w:rPr>
          <w:rFonts w:hint="eastAsia" w:eastAsia="宋体"/>
          <w:color w:val="auto"/>
          <w:lang w:eastAsia="zh-CN"/>
        </w:rPr>
        <w:drawing>
          <wp:anchor distT="0" distB="0" distL="114300" distR="114300" simplePos="0" relativeHeight="251661312" behindDoc="0" locked="0" layoutInCell="1" allowOverlap="1">
            <wp:simplePos x="0" y="0"/>
            <wp:positionH relativeFrom="column">
              <wp:posOffset>1382395</wp:posOffset>
            </wp:positionH>
            <wp:positionV relativeFrom="paragraph">
              <wp:posOffset>-76835</wp:posOffset>
            </wp:positionV>
            <wp:extent cx="730885" cy="377825"/>
            <wp:effectExtent l="0" t="0" r="0" b="3175"/>
            <wp:wrapNone/>
            <wp:docPr id="4" name="图片 3" descr="4595640c9b7caa580f4578d06fc2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595640c9b7caa580f4578d06fc2b26"/>
                    <pic:cNvPicPr>
                      <a:picLocks noChangeAspect="1"/>
                    </pic:cNvPicPr>
                  </pic:nvPicPr>
                  <pic:blipFill>
                    <a:blip r:embed="rId9"/>
                    <a:stretch>
                      <a:fillRect/>
                    </a:stretch>
                  </pic:blipFill>
                  <pic:spPr>
                    <a:xfrm>
                      <a:off x="0" y="0"/>
                      <a:ext cx="730885" cy="377825"/>
                    </a:xfrm>
                    <a:prstGeom prst="rect">
                      <a:avLst/>
                    </a:prstGeom>
                    <a:noFill/>
                    <a:ln>
                      <a:noFill/>
                    </a:ln>
                  </pic:spPr>
                </pic:pic>
              </a:graphicData>
            </a:graphic>
          </wp:anchor>
        </w:drawing>
      </w:r>
      <w:r>
        <w:rPr>
          <w:rFonts w:hint="eastAsia" w:ascii="宋体" w:hAnsi="宋体" w:eastAsia="宋体" w:cs="宋体"/>
          <w:bCs/>
          <w:color w:val="auto"/>
          <w:kern w:val="0"/>
          <w:sz w:val="24"/>
          <w:szCs w:val="24"/>
        </w:rPr>
        <w:t>审核组成员(签字)：                                   日 期：</w:t>
      </w:r>
      <w:r>
        <w:rPr>
          <w:rFonts w:hint="eastAsia" w:ascii="宋体" w:hAnsi="宋体" w:eastAsia="宋体" w:cs="宋体"/>
          <w:bCs/>
          <w:color w:val="auto"/>
          <w:kern w:val="0"/>
          <w:sz w:val="24"/>
          <w:szCs w:val="24"/>
          <w:lang w:val="en-US" w:eastAsia="zh-CN"/>
        </w:rPr>
        <w:t>2021.5.28</w:t>
      </w:r>
      <w:r>
        <w:rPr>
          <w:rFonts w:hint="eastAsia" w:ascii="宋体" w:hAnsi="宋体" w:eastAsia="宋体" w:cs="宋体"/>
          <w:bCs/>
          <w:color w:val="auto"/>
          <w:kern w:val="0"/>
          <w:sz w:val="24"/>
          <w:szCs w:val="24"/>
        </w:rPr>
        <w:t xml:space="preserve">  </w:t>
      </w:r>
    </w:p>
    <w:p>
      <w:pPr>
        <w:widowControl/>
        <w:spacing w:line="360" w:lineRule="auto"/>
        <w:rPr>
          <w:rFonts w:hint="eastAsia" w:ascii="宋体" w:hAnsi="宋体" w:eastAsia="宋体" w:cs="宋体"/>
          <w:bCs/>
          <w:color w:val="auto"/>
          <w:kern w:val="0"/>
          <w:sz w:val="24"/>
          <w:szCs w:val="24"/>
        </w:rPr>
      </w:pPr>
    </w:p>
    <w:p>
      <w:pPr>
        <w:widowControl/>
        <w:spacing w:line="360" w:lineRule="auto"/>
        <w:rPr>
          <w:rFonts w:hint="eastAsia" w:ascii="宋体" w:hAnsi="宋体" w:eastAsia="宋体" w:cs="宋体"/>
          <w:bCs/>
          <w:color w:val="auto"/>
          <w:kern w:val="0"/>
          <w:sz w:val="24"/>
          <w:szCs w:val="24"/>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北京国标联合认证有限公司(盖章)                       日 期：</w:t>
      </w:r>
    </w:p>
    <w:p>
      <w:pPr>
        <w:widowControl/>
        <w:spacing w:line="360" w:lineRule="auto"/>
        <w:rPr>
          <w:rFonts w:hint="eastAsia" w:ascii="宋体" w:hAnsi="宋体" w:eastAsia="宋体" w:cs="宋体"/>
          <w:bCs/>
          <w:color w:val="auto"/>
          <w:kern w:val="0"/>
          <w:sz w:val="24"/>
          <w:szCs w:val="24"/>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B12B1"/>
    <w:multiLevelType w:val="singleLevel"/>
    <w:tmpl w:val="634B12B1"/>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8E6FF2"/>
    <w:rsid w:val="359C4837"/>
    <w:rsid w:val="3CFD72DC"/>
    <w:rsid w:val="458C36C3"/>
    <w:rsid w:val="49F01B5A"/>
    <w:rsid w:val="4E92101A"/>
    <w:rsid w:val="509A5CC6"/>
    <w:rsid w:val="54304F17"/>
    <w:rsid w:val="55C92540"/>
    <w:rsid w:val="5604048A"/>
    <w:rsid w:val="58AC5BC9"/>
    <w:rsid w:val="5D3C14DF"/>
    <w:rsid w:val="64A67981"/>
    <w:rsid w:val="682D4D32"/>
    <w:rsid w:val="6C9816CD"/>
    <w:rsid w:val="6E256298"/>
    <w:rsid w:val="7A6E1412"/>
    <w:rsid w:val="7CE01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2021-05-30T01:24:13Z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