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0512-2021-EnMS 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3"/>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鄂尔多斯市瑞德煤化有限责任公司瑞德煤矿</w:t>
      </w:r>
      <w:bookmarkEnd w:id="1"/>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iCs w:val="0"/>
          <w:caps w:val="0"/>
          <w:color w:val="333333"/>
          <w:spacing w:val="0"/>
          <w:sz w:val="24"/>
          <w:szCs w:val="24"/>
          <w:shd w:val="clear" w:fill="F5F5F5"/>
        </w:rPr>
        <w:t>Ruide Coal Chemical Co. , Ltd. . Ruide Coal Mine, Ordos City</w:t>
      </w:r>
    </w:p>
    <w:p>
      <w:pPr>
        <w:pStyle w:val="3"/>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内蒙古自治区准格尔旗纳日松镇</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014010</w:t>
      </w:r>
      <w:bookmarkEnd w:id="4"/>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iCs w:val="0"/>
          <w:caps w:val="0"/>
          <w:color w:val="333333"/>
          <w:spacing w:val="0"/>
          <w:sz w:val="24"/>
          <w:szCs w:val="24"/>
          <w:shd w:val="clear" w:fill="F5F5F5"/>
        </w:rPr>
        <w:t>The Inner Mongolia town of Narisong, Jungar Banner</w:t>
      </w:r>
    </w:p>
    <w:p>
      <w:pPr>
        <w:pStyle w:val="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内蒙古自治区鄂尔多斯市准格尔旗纳日松镇</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014010</w:t>
      </w:r>
      <w:bookmarkEnd w:id="6"/>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iCs w:val="0"/>
          <w:caps w:val="0"/>
          <w:color w:val="333333"/>
          <w:spacing w:val="0"/>
          <w:sz w:val="24"/>
          <w:szCs w:val="24"/>
          <w:shd w:val="clear" w:fill="F5F5F5"/>
        </w:rPr>
        <w:t>Inner Mongolia, Ordos City, Zhungeer banner, Narisong town</w:t>
      </w:r>
    </w:p>
    <w:p>
      <w:pPr>
        <w:pStyle w:val="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911506227678622718</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15248481129</w:t>
      </w:r>
      <w:bookmarkEnd w:id="9"/>
    </w:p>
    <w:p>
      <w:pPr>
        <w:pStyle w:val="3"/>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王奋荣</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刘江</w:t>
      </w:r>
      <w:bookmarkEnd w:id="11"/>
      <w:r>
        <w:rPr>
          <w:rFonts w:hint="eastAsia"/>
          <w:b/>
          <w:color w:val="000000" w:themeColor="text1"/>
          <w:sz w:val="22"/>
          <w:szCs w:val="22"/>
        </w:rPr>
        <w:t>组织人数：</w:t>
      </w:r>
      <w:bookmarkStart w:id="12" w:name="企业人数"/>
      <w:r>
        <w:rPr>
          <w:b/>
          <w:color w:val="000000" w:themeColor="text1"/>
          <w:sz w:val="22"/>
          <w:szCs w:val="22"/>
        </w:rPr>
        <w:t>45</w:t>
      </w:r>
      <w:bookmarkEnd w:id="12"/>
    </w:p>
    <w:p>
      <w:pPr>
        <w:pStyle w:val="3"/>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24001-2016/ISO14001:2015,EnMS：ISO50001:2018</w:t>
      </w:r>
      <w:bookmarkEnd w:id="13"/>
      <w:r>
        <w:rPr>
          <w:rFonts w:hint="eastAsia"/>
          <w:b/>
          <w:color w:val="000000" w:themeColor="text1"/>
          <w:spacing w:val="-2"/>
          <w:sz w:val="22"/>
          <w:szCs w:val="22"/>
        </w:rPr>
        <w:t>认证类型：</w:t>
      </w:r>
      <w:bookmarkStart w:id="14" w:name="审核类型"/>
    </w:p>
    <w:p>
      <w:pPr>
        <w:pStyle w:val="3"/>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E:二阶段,EnMS:二阶段</w:t>
      </w:r>
      <w:bookmarkEnd w:id="14"/>
    </w:p>
    <w:p>
      <w:pPr>
        <w:pStyle w:val="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E：露天煤矿的开采（限许可范围内）所涉及场所的相关环境管理活动</w:t>
      </w:r>
    </w:p>
    <w:p>
      <w:pPr>
        <w:pStyle w:val="3"/>
        <w:spacing w:line="240" w:lineRule="auto"/>
        <w:ind w:firstLine="0"/>
        <w:rPr>
          <w:rFonts w:hint="eastAsia"/>
          <w:b/>
          <w:color w:val="000000" w:themeColor="text1"/>
          <w:sz w:val="22"/>
          <w:szCs w:val="22"/>
        </w:rPr>
      </w:pPr>
      <w:r>
        <w:rPr>
          <w:rFonts w:hint="eastAsia"/>
          <w:b/>
          <w:color w:val="000000" w:themeColor="text1"/>
          <w:sz w:val="22"/>
          <w:szCs w:val="22"/>
        </w:rPr>
        <w:t>EnMS：露天煤矿的开采（限许可范围内）及相关能源管理活动</w:t>
      </w:r>
      <w:bookmarkEnd w:id="15"/>
    </w:p>
    <w:p>
      <w:pPr>
        <w:pStyle w:val="3"/>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EMS（英文：）：</w:t>
      </w:r>
      <w:r>
        <w:rPr>
          <w:rFonts w:ascii="微软雅黑" w:hAnsi="微软雅黑" w:eastAsia="微软雅黑" w:cs="微软雅黑"/>
          <w:i w:val="0"/>
          <w:iCs w:val="0"/>
          <w:caps w:val="0"/>
          <w:color w:val="333333"/>
          <w:spacing w:val="0"/>
          <w:sz w:val="24"/>
          <w:szCs w:val="24"/>
          <w:shd w:val="clear" w:fill="F5F5F5"/>
        </w:rPr>
        <w:t>Relevant environmental management activities of sites involved in the mining of open-pit coal mines (within the scope of the permit)</w:t>
      </w:r>
    </w:p>
    <w:p>
      <w:pPr>
        <w:pStyle w:val="3"/>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EnMS（英文：）</w:t>
      </w:r>
      <w:r>
        <w:rPr>
          <w:rFonts w:ascii="微软雅黑" w:hAnsi="微软雅黑" w:eastAsia="微软雅黑" w:cs="微软雅黑"/>
          <w:i w:val="0"/>
          <w:iCs w:val="0"/>
          <w:caps w:val="0"/>
          <w:color w:val="333333"/>
          <w:spacing w:val="0"/>
          <w:sz w:val="24"/>
          <w:szCs w:val="24"/>
          <w:shd w:val="clear" w:fill="F5F5F5"/>
        </w:rPr>
        <w:t>Open-pit coal mining (within the scope of the permit) and related energy management activities</w:t>
      </w:r>
    </w:p>
    <w:p>
      <w:pPr>
        <w:pStyle w:val="3"/>
        <w:spacing w:line="240" w:lineRule="auto"/>
        <w:ind w:firstLine="0"/>
        <w:rPr>
          <w:b/>
          <w:color w:val="000000" w:themeColor="text1"/>
          <w:sz w:val="22"/>
          <w:szCs w:val="22"/>
          <w:u w:val="single"/>
        </w:rPr>
      </w:pPr>
    </w:p>
    <w:p>
      <w:pPr>
        <w:pStyle w:val="3"/>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3"/>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3"/>
        <w:spacing w:line="360" w:lineRule="exact"/>
        <w:ind w:firstLine="0"/>
        <w:rPr>
          <w:rFonts w:hint="eastAsia"/>
          <w:b/>
          <w:color w:val="000000" w:themeColor="text1"/>
          <w:sz w:val="22"/>
          <w:szCs w:val="22"/>
        </w:rPr>
      </w:pPr>
    </w:p>
    <w:p>
      <w:pPr>
        <w:pStyle w:val="3"/>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                     组长确认：</w:t>
      </w:r>
      <w:r>
        <w:rPr>
          <w:rFonts w:hint="eastAsia"/>
          <w:b/>
          <w:color w:val="000000" w:themeColor="text1"/>
          <w:sz w:val="22"/>
          <w:szCs w:val="22"/>
          <w:lang w:val="en-US" w:eastAsia="zh-CN"/>
        </w:rPr>
        <w:t>李京田</w:t>
      </w:r>
    </w:p>
    <w:p>
      <w:pPr>
        <w:pStyle w:val="3"/>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 xml:space="preserve">日期：                                      </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2021.6.8</w:t>
      </w:r>
    </w:p>
    <w:p>
      <w:pPr>
        <w:pStyle w:val="3"/>
        <w:spacing w:line="0" w:lineRule="atLeast"/>
        <w:ind w:firstLine="0"/>
        <w:rPr>
          <w:b/>
          <w:color w:val="000000" w:themeColor="text1"/>
          <w:sz w:val="18"/>
          <w:szCs w:val="18"/>
        </w:rPr>
      </w:pPr>
      <w:r>
        <w:rPr>
          <w:b/>
          <w:color w:val="000000" w:themeColor="text1"/>
          <w:sz w:val="18"/>
          <w:szCs w:val="18"/>
        </w:rPr>
        <w:t>注：</w:t>
      </w:r>
    </w:p>
    <w:p>
      <w:pPr>
        <w:pStyle w:val="3"/>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p>
      <w:pPr>
        <w:pStyle w:val="3"/>
        <w:widowControl w:val="0"/>
        <w:numPr>
          <w:ilvl w:val="0"/>
          <w:numId w:val="0"/>
        </w:numPr>
        <w:snapToGrid w:val="0"/>
        <w:spacing w:line="0" w:lineRule="atLeast"/>
        <w:jc w:val="both"/>
        <w:rPr>
          <w:rFonts w:hint="eastAsia" w:ascii="宋体" w:hAnsi="宋体"/>
          <w:b/>
          <w:color w:val="000000" w:themeColor="text1"/>
          <w:sz w:val="18"/>
          <w:szCs w:val="18"/>
        </w:rPr>
      </w:pPr>
    </w:p>
    <w:p>
      <w:pPr>
        <w:pStyle w:val="3"/>
        <w:widowControl w:val="0"/>
        <w:numPr>
          <w:ilvl w:val="0"/>
          <w:numId w:val="0"/>
        </w:numPr>
        <w:snapToGrid w:val="0"/>
        <w:spacing w:line="0" w:lineRule="atLeast"/>
        <w:jc w:val="both"/>
        <w:rPr>
          <w:rFonts w:hint="eastAsia" w:ascii="宋体" w:hAnsi="宋体"/>
          <w:b/>
          <w:color w:val="000000" w:themeColor="text1"/>
          <w:sz w:val="18"/>
          <w:szCs w:val="18"/>
        </w:rPr>
      </w:pPr>
    </w:p>
    <w:p>
      <w:pPr>
        <w:pStyle w:val="3"/>
        <w:spacing w:line="0" w:lineRule="atLeast"/>
        <w:ind w:firstLine="0"/>
        <w:jc w:val="center"/>
        <w:rPr>
          <w:rFonts w:hint="eastAsia" w:ascii="宋体" w:hAnsi="宋体"/>
          <w:b/>
          <w:color w:val="000000"/>
          <w:sz w:val="30"/>
          <w:szCs w:val="30"/>
        </w:rPr>
      </w:pPr>
    </w:p>
    <w:p>
      <w:pPr>
        <w:pStyle w:val="3"/>
        <w:spacing w:line="0" w:lineRule="atLeast"/>
        <w:ind w:firstLine="0"/>
        <w:jc w:val="center"/>
        <w:rPr>
          <w:rFonts w:hint="eastAsia" w:ascii="宋体" w:hAnsi="宋体"/>
          <w:b/>
          <w:color w:val="000000"/>
          <w:sz w:val="30"/>
          <w:szCs w:val="30"/>
        </w:rPr>
      </w:pPr>
    </w:p>
    <w:p>
      <w:pPr>
        <w:pStyle w:val="3"/>
        <w:spacing w:line="0" w:lineRule="atLeast"/>
        <w:ind w:firstLine="0"/>
        <w:jc w:val="center"/>
        <w:rPr>
          <w:rFonts w:hint="eastAsia" w:ascii="宋体" w:hAnsi="宋体"/>
          <w:b/>
          <w:color w:val="000000"/>
          <w:sz w:val="30"/>
          <w:szCs w:val="30"/>
        </w:rPr>
      </w:pPr>
    </w:p>
    <w:p>
      <w:pPr>
        <w:pStyle w:val="3"/>
        <w:spacing w:line="0" w:lineRule="atLeast"/>
        <w:ind w:firstLine="0"/>
        <w:jc w:val="center"/>
        <w:rPr>
          <w:rFonts w:ascii="宋体" w:hAnsi="宋体"/>
          <w:b/>
          <w:color w:val="000000"/>
          <w:sz w:val="30"/>
          <w:szCs w:val="30"/>
        </w:rPr>
      </w:pPr>
      <w:r>
        <w:rPr>
          <w:rFonts w:hint="eastAsia" w:ascii="宋体" w:hAnsi="宋体"/>
          <w:b/>
          <w:color w:val="000000"/>
          <w:sz w:val="30"/>
          <w:szCs w:val="30"/>
        </w:rPr>
        <w:t>能源管理体系认证证书附件</w:t>
      </w:r>
    </w:p>
    <w:p>
      <w:pPr>
        <w:pStyle w:val="3"/>
        <w:spacing w:line="400" w:lineRule="exact"/>
        <w:ind w:firstLine="0"/>
        <w:rPr>
          <w:rFonts w:hint="default" w:eastAsia="宋体"/>
          <w:b/>
          <w:color w:val="000000"/>
          <w:sz w:val="22"/>
          <w:szCs w:val="22"/>
          <w:u w:val="single"/>
          <w:lang w:val="en-US" w:eastAsia="zh-CN"/>
        </w:rPr>
      </w:pPr>
      <w:r>
        <w:rPr>
          <w:rFonts w:hint="eastAsia"/>
          <w:b/>
          <w:color w:val="000000"/>
          <w:sz w:val="22"/>
          <w:szCs w:val="22"/>
        </w:rPr>
        <w:t>获证组织名称：</w:t>
      </w:r>
      <w:r>
        <w:rPr>
          <w:b w:val="0"/>
          <w:bCs/>
          <w:color w:val="000000"/>
          <w:sz w:val="22"/>
          <w:szCs w:val="22"/>
          <w:u w:val="single"/>
        </w:rPr>
        <w:t>中铁资源苏尼特左旗芒来矿业有限公司</w:t>
      </w:r>
      <w:r>
        <w:rPr>
          <w:rFonts w:hint="eastAsia"/>
          <w:b/>
          <w:color w:val="000000"/>
          <w:sz w:val="22"/>
          <w:szCs w:val="22"/>
          <w:u w:val="single"/>
          <w:lang w:val="en-US" w:eastAsia="zh-CN"/>
        </w:rPr>
        <w:t xml:space="preserve"> </w:t>
      </w:r>
    </w:p>
    <w:p>
      <w:pPr>
        <w:pStyle w:val="3"/>
        <w:spacing w:line="400" w:lineRule="exact"/>
        <w:ind w:firstLine="0"/>
        <w:rPr>
          <w:rFonts w:hint="default"/>
          <w:sz w:val="21"/>
          <w:szCs w:val="21"/>
          <w:u w:val="single"/>
          <w:lang w:val="en-US" w:eastAsia="zh-CN"/>
        </w:rPr>
      </w:pPr>
      <w:r>
        <w:rPr>
          <w:rFonts w:hint="eastAsia"/>
          <w:b/>
          <w:color w:val="000000"/>
          <w:sz w:val="22"/>
          <w:szCs w:val="22"/>
        </w:rPr>
        <w:t>获证组织地址：</w:t>
      </w:r>
      <w:r>
        <w:rPr>
          <w:rFonts w:hint="eastAsia"/>
          <w:b w:val="0"/>
          <w:bCs/>
          <w:color w:val="000000"/>
          <w:sz w:val="22"/>
          <w:szCs w:val="22"/>
          <w:u w:val="single"/>
        </w:rPr>
        <w:t>内蒙古自治区锡林郭勒盟苏尼特左旗赛罕高毕苏木巴彦芒来嘎查</w:t>
      </w:r>
      <w:r>
        <w:rPr>
          <w:rFonts w:hint="eastAsia"/>
          <w:sz w:val="21"/>
          <w:szCs w:val="21"/>
          <w:u w:val="single"/>
          <w:lang w:val="en-US" w:eastAsia="zh-CN"/>
        </w:rPr>
        <w:t xml:space="preserve"> </w:t>
      </w:r>
    </w:p>
    <w:p>
      <w:pPr>
        <w:pStyle w:val="3"/>
        <w:spacing w:line="400" w:lineRule="exact"/>
        <w:ind w:firstLine="0"/>
        <w:rPr>
          <w:rFonts w:hint="default" w:eastAsia="宋体"/>
          <w:b/>
          <w:color w:val="000000"/>
          <w:sz w:val="22"/>
          <w:szCs w:val="22"/>
          <w:lang w:val="en-US" w:eastAsia="zh-CN"/>
        </w:rPr>
      </w:pPr>
      <w:r>
        <w:rPr>
          <w:rFonts w:hint="eastAsia"/>
          <w:b/>
          <w:color w:val="000000"/>
          <w:sz w:val="22"/>
          <w:szCs w:val="22"/>
        </w:rPr>
        <w:t>证书注册号：</w:t>
      </w:r>
      <w:r>
        <w:rPr>
          <w:rFonts w:hint="eastAsia"/>
          <w:b/>
          <w:color w:val="000000"/>
          <w:sz w:val="22"/>
          <w:szCs w:val="22"/>
          <w:u w:val="single"/>
          <w:lang w:val="en-US" w:eastAsia="zh-CN"/>
        </w:rPr>
        <w:t xml:space="preserve">                      </w:t>
      </w:r>
    </w:p>
    <w:p>
      <w:pPr>
        <w:pStyle w:val="3"/>
        <w:spacing w:line="400" w:lineRule="exact"/>
        <w:ind w:left="0" w:leftChars="0" w:firstLine="0" w:firstLineChars="0"/>
        <w:rPr>
          <w:rFonts w:hint="eastAsia"/>
          <w:b/>
          <w:color w:val="000000"/>
          <w:sz w:val="22"/>
          <w:szCs w:val="22"/>
        </w:rPr>
      </w:pPr>
      <w:r>
        <w:rPr>
          <w:rFonts w:hint="eastAsia"/>
          <w:b/>
          <w:color w:val="000000"/>
          <w:sz w:val="22"/>
          <w:szCs w:val="22"/>
        </w:rPr>
        <w:t>认证依据标准：ISO50001:2018《能源管理体系 要求及使用指南》</w:t>
      </w:r>
    </w:p>
    <w:p>
      <w:pPr>
        <w:pStyle w:val="3"/>
        <w:spacing w:line="400" w:lineRule="exact"/>
        <w:ind w:firstLine="1546" w:firstLineChars="700"/>
        <w:rPr>
          <w:rFonts w:hint="eastAsia"/>
          <w:b/>
          <w:color w:val="000000"/>
          <w:sz w:val="22"/>
          <w:szCs w:val="22"/>
        </w:rPr>
      </w:pPr>
      <w:r>
        <w:rPr>
          <w:rFonts w:hint="eastAsia"/>
          <w:b/>
          <w:color w:val="000000"/>
          <w:sz w:val="22"/>
          <w:szCs w:val="22"/>
          <w:lang w:val="en-US" w:eastAsia="zh-CN"/>
        </w:rPr>
        <w:t>&amp; RB/T</w:t>
      </w:r>
      <w:r>
        <w:rPr>
          <w:rFonts w:hint="eastAsia"/>
          <w:b/>
          <w:color w:val="000000"/>
          <w:sz w:val="22"/>
          <w:szCs w:val="22"/>
          <w:u w:val="single"/>
          <w:lang w:val="en-US" w:eastAsia="zh-CN"/>
        </w:rPr>
        <w:t xml:space="preserve"> 105-2013《能源管理体系 煤炭采选业认证要求》</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noWrap w:val="0"/>
            <w:vAlign w:val="top"/>
          </w:tcPr>
          <w:p>
            <w:pPr>
              <w:pStyle w:val="3"/>
              <w:spacing w:line="400" w:lineRule="exact"/>
              <w:ind w:firstLine="0"/>
              <w:jc w:val="center"/>
              <w:rPr>
                <w:rFonts w:ascii="宋体" w:hAnsi="宋体"/>
                <w:b/>
                <w:color w:val="000000"/>
                <w:sz w:val="24"/>
                <w:szCs w:val="24"/>
              </w:rPr>
            </w:pPr>
            <w:r>
              <w:rPr>
                <w:rFonts w:hint="eastAsia" w:ascii="宋体" w:hAnsi="宋体"/>
                <w:b/>
                <w:color w:val="000000"/>
                <w:sz w:val="24"/>
                <w:szCs w:val="24"/>
              </w:rPr>
              <w:t>审核类型及时间</w:t>
            </w:r>
          </w:p>
        </w:tc>
        <w:tc>
          <w:tcPr>
            <w:tcW w:w="4735" w:type="dxa"/>
            <w:noWrap w:val="0"/>
            <w:vAlign w:val="top"/>
          </w:tcPr>
          <w:p>
            <w:pPr>
              <w:pStyle w:val="3"/>
              <w:spacing w:line="400" w:lineRule="exact"/>
              <w:ind w:firstLine="0"/>
              <w:jc w:val="center"/>
              <w:rPr>
                <w:rFonts w:ascii="宋体" w:hAnsi="宋体"/>
                <w:b/>
                <w:color w:val="000000"/>
                <w:sz w:val="24"/>
                <w:szCs w:val="24"/>
              </w:rPr>
            </w:pPr>
            <w:r>
              <w:rPr>
                <w:rFonts w:hint="eastAsia" w:ascii="宋体" w:hAnsi="宋体"/>
                <w:b/>
                <w:color w:val="000000"/>
                <w:sz w:val="24"/>
                <w:szCs w:val="24"/>
              </w:rPr>
              <w:t>能</w:t>
            </w:r>
            <w:r>
              <w:rPr>
                <w:rFonts w:hint="eastAsia" w:ascii="宋体" w:hAnsi="宋体"/>
                <w:b/>
                <w:color w:val="000000"/>
                <w:sz w:val="24"/>
                <w:szCs w:val="24"/>
                <w:lang w:val="en-US" w:eastAsia="zh-CN"/>
              </w:rPr>
              <w:t>源</w:t>
            </w:r>
            <w:r>
              <w:rPr>
                <w:rFonts w:hint="eastAsia" w:ascii="宋体" w:hAnsi="宋体"/>
                <w:b/>
                <w:color w:val="000000"/>
                <w:sz w:val="24"/>
                <w:szCs w:val="24"/>
              </w:rPr>
              <w:t>数据</w:t>
            </w:r>
          </w:p>
        </w:tc>
        <w:tc>
          <w:tcPr>
            <w:tcW w:w="2835" w:type="dxa"/>
            <w:noWrap w:val="0"/>
            <w:vAlign w:val="top"/>
          </w:tcPr>
          <w:p>
            <w:pPr>
              <w:pStyle w:val="3"/>
              <w:spacing w:line="400" w:lineRule="exact"/>
              <w:ind w:firstLine="0"/>
              <w:jc w:val="center"/>
              <w:rPr>
                <w:rFonts w:ascii="宋体" w:hAnsi="宋体"/>
                <w:b/>
                <w:color w:val="000000"/>
                <w:sz w:val="24"/>
                <w:szCs w:val="24"/>
              </w:rPr>
            </w:pPr>
            <w:r>
              <w:rPr>
                <w:rFonts w:hint="eastAsia" w:ascii="宋体" w:hAnsi="宋体"/>
                <w:b/>
                <w:color w:val="000000"/>
                <w:sz w:val="24"/>
                <w:szCs w:val="24"/>
                <w:lang w:val="en-US" w:eastAsia="zh-CN"/>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noWrap w:val="0"/>
            <w:vAlign w:val="top"/>
          </w:tcPr>
          <w:p>
            <w:pPr>
              <w:pStyle w:val="3"/>
              <w:spacing w:line="400" w:lineRule="exact"/>
              <w:ind w:firstLine="0"/>
              <w:rPr>
                <w:sz w:val="20"/>
                <w:szCs w:val="22"/>
              </w:rPr>
            </w:pPr>
            <w:bookmarkStart w:id="16" w:name="_GoBack" w:colFirst="1" w:colLast="1"/>
            <w:r>
              <w:rPr>
                <w:rFonts w:hint="eastAsia"/>
                <w:sz w:val="20"/>
                <w:szCs w:val="22"/>
              </w:rPr>
              <w:t>初次审核</w:t>
            </w:r>
          </w:p>
          <w:p>
            <w:pPr>
              <w:pStyle w:val="3"/>
              <w:spacing w:line="400" w:lineRule="exact"/>
              <w:ind w:firstLine="0"/>
              <w:rPr>
                <w:rFonts w:hint="default" w:ascii="宋体" w:hAnsi="宋体" w:eastAsia="宋体"/>
                <w:b/>
                <w:color w:val="000000"/>
                <w:sz w:val="24"/>
                <w:szCs w:val="24"/>
                <w:lang w:val="en-US" w:eastAsia="zh-CN"/>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6</w:t>
            </w:r>
            <w:r>
              <w:rPr>
                <w:rFonts w:hint="eastAsia"/>
                <w:sz w:val="20"/>
                <w:szCs w:val="22"/>
              </w:rPr>
              <w:t>月</w:t>
            </w:r>
            <w:r>
              <w:rPr>
                <w:rFonts w:hint="eastAsia"/>
                <w:sz w:val="20"/>
                <w:szCs w:val="22"/>
                <w:u w:val="single"/>
                <w:lang w:val="en-US" w:eastAsia="zh-CN"/>
              </w:rPr>
              <w:t>4-8</w:t>
            </w:r>
            <w:r>
              <w:rPr>
                <w:rFonts w:hint="eastAsia"/>
                <w:sz w:val="20"/>
                <w:szCs w:val="22"/>
                <w:u w:val="none"/>
                <w:lang w:val="en-US" w:eastAsia="zh-CN"/>
              </w:rPr>
              <w:t>日</w:t>
            </w:r>
          </w:p>
        </w:tc>
        <w:tc>
          <w:tcPr>
            <w:tcW w:w="4735" w:type="dxa"/>
            <w:noWrap w:val="0"/>
            <w:vAlign w:val="top"/>
          </w:tcPr>
          <w:p>
            <w:pPr>
              <w:rPr>
                <w:rFonts w:hint="eastAsia"/>
                <w:color w:val="auto"/>
                <w:sz w:val="20"/>
                <w:szCs w:val="22"/>
              </w:rPr>
            </w:pPr>
            <w:r>
              <w:rPr>
                <w:rFonts w:hint="eastAsia"/>
                <w:b/>
                <w:bCs/>
                <w:color w:val="auto"/>
                <w:sz w:val="20"/>
                <w:szCs w:val="22"/>
              </w:rPr>
              <w:t>能耗统计期：</w:t>
            </w:r>
          </w:p>
          <w:p>
            <w:pPr>
              <w:pStyle w:val="3"/>
              <w:spacing w:line="400" w:lineRule="exact"/>
              <w:ind w:firstLine="0" w:firstLineChars="0"/>
              <w:rPr>
                <w:rFonts w:ascii="宋体" w:hAnsi="宋体"/>
                <w:b/>
                <w:color w:val="auto"/>
                <w:szCs w:val="24"/>
              </w:rPr>
            </w:pPr>
            <w:r>
              <w:rPr>
                <w:rFonts w:hint="eastAsia"/>
                <w:color w:val="auto"/>
                <w:sz w:val="20"/>
                <w:szCs w:val="22"/>
                <w:u w:val="single"/>
              </w:rPr>
              <w:t>20</w:t>
            </w:r>
            <w:r>
              <w:rPr>
                <w:rFonts w:hint="eastAsia"/>
                <w:color w:val="auto"/>
                <w:sz w:val="20"/>
                <w:szCs w:val="22"/>
                <w:u w:val="single"/>
                <w:lang w:val="en-US" w:eastAsia="zh-CN"/>
              </w:rPr>
              <w:t>20</w:t>
            </w:r>
            <w:r>
              <w:rPr>
                <w:rFonts w:hint="eastAsia"/>
                <w:color w:val="auto"/>
                <w:sz w:val="20"/>
                <w:szCs w:val="22"/>
              </w:rPr>
              <w:t>年</w:t>
            </w:r>
            <w:r>
              <w:rPr>
                <w:rFonts w:hint="eastAsia"/>
                <w:color w:val="auto"/>
                <w:sz w:val="20"/>
                <w:szCs w:val="22"/>
                <w:u w:val="single"/>
                <w:lang w:val="en-US" w:eastAsia="zh-CN"/>
              </w:rPr>
              <w:t>1</w:t>
            </w:r>
            <w:r>
              <w:rPr>
                <w:rFonts w:hint="eastAsia"/>
                <w:color w:val="auto"/>
                <w:sz w:val="20"/>
                <w:szCs w:val="22"/>
              </w:rPr>
              <w:t>月</w:t>
            </w:r>
            <w:r>
              <w:rPr>
                <w:rFonts w:hint="eastAsia"/>
                <w:color w:val="auto"/>
                <w:sz w:val="20"/>
                <w:szCs w:val="22"/>
                <w:lang w:val="en-US" w:eastAsia="zh-CN"/>
              </w:rPr>
              <w:t>至</w:t>
            </w:r>
            <w:r>
              <w:rPr>
                <w:rFonts w:hint="eastAsia"/>
                <w:color w:val="auto"/>
                <w:sz w:val="20"/>
                <w:szCs w:val="22"/>
                <w:u w:val="single"/>
              </w:rPr>
              <w:t>20</w:t>
            </w:r>
            <w:r>
              <w:rPr>
                <w:rFonts w:hint="eastAsia"/>
                <w:color w:val="auto"/>
                <w:sz w:val="20"/>
                <w:szCs w:val="22"/>
                <w:u w:val="single"/>
                <w:lang w:val="en-US" w:eastAsia="zh-CN"/>
              </w:rPr>
              <w:t>20</w:t>
            </w:r>
            <w:r>
              <w:rPr>
                <w:rFonts w:hint="eastAsia"/>
                <w:color w:val="auto"/>
                <w:sz w:val="20"/>
                <w:szCs w:val="22"/>
              </w:rPr>
              <w:t>年</w:t>
            </w:r>
            <w:r>
              <w:rPr>
                <w:rFonts w:hint="eastAsia"/>
                <w:color w:val="auto"/>
                <w:sz w:val="20"/>
                <w:szCs w:val="22"/>
                <w:u w:val="single"/>
                <w:lang w:val="en-US" w:eastAsia="zh-CN"/>
              </w:rPr>
              <w:t>12</w:t>
            </w:r>
            <w:r>
              <w:rPr>
                <w:rFonts w:hint="eastAsia"/>
                <w:color w:val="auto"/>
                <w:sz w:val="20"/>
                <w:szCs w:val="22"/>
              </w:rPr>
              <w:t>月</w:t>
            </w:r>
            <w:r>
              <w:rPr>
                <w:rFonts w:hint="eastAsia"/>
                <w:color w:val="auto"/>
                <w:sz w:val="20"/>
                <w:szCs w:val="22"/>
                <w:u w:val="single"/>
                <w:lang w:val="en-US" w:eastAsia="zh-CN"/>
              </w:rPr>
              <w:t>31</w:t>
            </w:r>
            <w:r>
              <w:rPr>
                <w:rFonts w:hint="eastAsia"/>
                <w:color w:val="auto"/>
                <w:sz w:val="20"/>
                <w:szCs w:val="22"/>
              </w:rPr>
              <w:t>日</w:t>
            </w:r>
          </w:p>
        </w:tc>
        <w:tc>
          <w:tcPr>
            <w:tcW w:w="2835" w:type="dxa"/>
            <w:vMerge w:val="restart"/>
            <w:noWrap w:val="0"/>
            <w:vAlign w:val="top"/>
          </w:tcPr>
          <w:p>
            <w:pPr>
              <w:rPr>
                <w:rFonts w:hint="default" w:eastAsia="宋体"/>
                <w:sz w:val="20"/>
                <w:szCs w:val="22"/>
                <w:highlight w:val="yellow"/>
                <w:lang w:val="en-US" w:eastAsia="zh-CN"/>
              </w:rPr>
            </w:pPr>
            <w:r>
              <w:rPr>
                <w:rFonts w:hint="eastAsia"/>
                <w:b w:val="0"/>
                <w:bCs/>
                <w:color w:val="000000"/>
                <w:sz w:val="22"/>
                <w:szCs w:val="22"/>
                <w:u w:val="none"/>
                <w:lang w:val="en-US" w:eastAsia="zh-CN"/>
              </w:rPr>
              <w:t>位于</w:t>
            </w:r>
            <w:r>
              <w:t>内蒙古自治区鄂尔多斯市准格尔旗纳日松镇</w:t>
            </w:r>
            <w:r>
              <w:rPr>
                <w:rFonts w:hint="eastAsia"/>
                <w:b w:val="0"/>
                <w:bCs/>
                <w:color w:val="000000"/>
                <w:sz w:val="22"/>
                <w:szCs w:val="22"/>
                <w:u w:val="none"/>
                <w:lang w:val="en-US" w:eastAsia="zh-CN"/>
              </w:rPr>
              <w:t>的</w:t>
            </w:r>
            <w:r>
              <w:rPr>
                <w:color w:val="000000"/>
                <w:szCs w:val="21"/>
              </w:rPr>
              <w:t>鄂尔多斯市瑞德煤化有限责任公司瑞德煤矿</w:t>
            </w:r>
            <w:r>
              <w:rPr>
                <w:rFonts w:hint="eastAsia"/>
                <w:b w:val="0"/>
                <w:bCs/>
                <w:color w:val="000000"/>
                <w:sz w:val="22"/>
                <w:szCs w:val="22"/>
                <w:u w:val="none"/>
                <w:lang w:val="en-US" w:eastAsia="zh-CN"/>
              </w:rPr>
              <w:t>总部（</w:t>
            </w:r>
            <w:r>
              <w:rPr>
                <w:rFonts w:hint="eastAsia"/>
              </w:rPr>
              <w:t>生产技术科</w:t>
            </w:r>
            <w:r>
              <w:rPr>
                <w:rFonts w:hint="eastAsia"/>
                <w:lang w:eastAsia="zh-CN"/>
              </w:rPr>
              <w:t>、</w:t>
            </w:r>
            <w:r>
              <w:rPr>
                <w:rFonts w:hint="eastAsia"/>
              </w:rPr>
              <w:t>调度室</w:t>
            </w:r>
            <w:r>
              <w:rPr>
                <w:rFonts w:hint="eastAsia"/>
                <w:lang w:eastAsia="zh-CN"/>
              </w:rPr>
              <w:t>、</w:t>
            </w:r>
            <w:r>
              <w:rPr>
                <w:rFonts w:hint="eastAsia"/>
              </w:rPr>
              <w:t>综合管理办公室</w:t>
            </w:r>
            <w:r>
              <w:rPr>
                <w:rFonts w:hint="eastAsia"/>
                <w:lang w:eastAsia="zh-CN"/>
              </w:rPr>
              <w:t>、</w:t>
            </w:r>
            <w:r>
              <w:rPr>
                <w:rFonts w:hint="eastAsia"/>
              </w:rPr>
              <w:t>财务</w:t>
            </w:r>
            <w:r>
              <w:rPr>
                <w:rFonts w:hint="eastAsia"/>
                <w:lang w:val="en-US" w:eastAsia="zh-CN"/>
              </w:rPr>
              <w:t>室</w:t>
            </w:r>
            <w:r>
              <w:rPr>
                <w:rFonts w:hint="eastAsia"/>
                <w:lang w:eastAsia="zh-CN"/>
              </w:rPr>
              <w:t>、</w:t>
            </w:r>
            <w:r>
              <w:rPr>
                <w:rFonts w:hint="eastAsia"/>
              </w:rPr>
              <w:t>机电科</w:t>
            </w:r>
            <w:r>
              <w:rPr>
                <w:rFonts w:hint="eastAsia"/>
                <w:lang w:eastAsia="zh-CN"/>
              </w:rPr>
              <w:t>、</w:t>
            </w:r>
            <w:r>
              <w:rPr>
                <w:rFonts w:hint="eastAsia"/>
              </w:rPr>
              <w:t>安监科</w:t>
            </w:r>
            <w:r>
              <w:rPr>
                <w:rFonts w:hint="eastAsia"/>
                <w:b w:val="0"/>
                <w:bCs/>
                <w:color w:val="000000"/>
                <w:sz w:val="22"/>
                <w:szCs w:val="22"/>
                <w:u w:val="none"/>
                <w:lang w:val="en-US" w:eastAsia="zh-CN"/>
              </w:rPr>
              <w:t>）及矿区范围内的相关能源管理活动；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top"/>
          </w:tcPr>
          <w:p>
            <w:pPr>
              <w:pStyle w:val="3"/>
              <w:spacing w:line="320" w:lineRule="exact"/>
              <w:ind w:firstLine="0" w:firstLineChars="0"/>
              <w:rPr>
                <w:rFonts w:hint="default" w:ascii="宋体" w:hAnsi="宋体" w:eastAsia="宋体"/>
                <w:b/>
                <w:color w:val="auto"/>
                <w:szCs w:val="24"/>
                <w:highlight w:val="none"/>
                <w:lang w:val="en-US" w:eastAsia="zh-CN"/>
              </w:rPr>
            </w:pPr>
            <w:r>
              <w:rPr>
                <w:rFonts w:hint="eastAsia"/>
                <w:b/>
                <w:bCs/>
                <w:color w:val="auto"/>
                <w:sz w:val="20"/>
                <w:highlight w:val="none"/>
                <w:lang w:val="en-US" w:eastAsia="zh-CN"/>
              </w:rPr>
              <w:t>产量或产值：</w:t>
            </w:r>
            <w:r>
              <w:rPr>
                <w:rFonts w:hint="eastAsia"/>
                <w:color w:val="auto"/>
                <w:sz w:val="20"/>
                <w:szCs w:val="22"/>
                <w:highlight w:val="none"/>
                <w:lang w:val="en-US" w:eastAsia="zh-CN"/>
              </w:rPr>
              <w:t>104.69万吨   23126万元</w:t>
            </w:r>
            <w:r>
              <w:rPr>
                <w:rFonts w:hint="eastAsia"/>
                <w:color w:val="auto"/>
                <w:sz w:val="20"/>
                <w:highlight w:val="none"/>
                <w:lang w:val="en-US" w:eastAsia="zh-CN"/>
              </w:rPr>
              <w:t xml:space="preserve">          </w:t>
            </w:r>
          </w:p>
        </w:tc>
        <w:tc>
          <w:tcPr>
            <w:tcW w:w="2835" w:type="dxa"/>
            <w:vMerge w:val="continue"/>
            <w:noWrap w:val="0"/>
            <w:vAlign w:val="top"/>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top"/>
          </w:tcPr>
          <w:p>
            <w:pPr>
              <w:pStyle w:val="3"/>
              <w:spacing w:line="320" w:lineRule="exact"/>
              <w:ind w:firstLine="0" w:firstLineChars="0"/>
              <w:rPr>
                <w:rFonts w:hint="eastAsia"/>
                <w:b/>
                <w:bCs/>
                <w:color w:val="auto"/>
                <w:sz w:val="20"/>
                <w:szCs w:val="22"/>
                <w:highlight w:val="none"/>
                <w:lang w:val="en-US" w:eastAsia="zh-CN"/>
              </w:rPr>
            </w:pPr>
            <w:r>
              <w:rPr>
                <w:rFonts w:hint="eastAsia"/>
                <w:b/>
                <w:bCs/>
                <w:color w:val="auto"/>
                <w:sz w:val="20"/>
                <w:szCs w:val="22"/>
                <w:highlight w:val="none"/>
                <w:lang w:val="en-US" w:eastAsia="zh-CN"/>
              </w:rPr>
              <w:t>年</w:t>
            </w:r>
            <w:r>
              <w:rPr>
                <w:rFonts w:hint="eastAsia"/>
                <w:b/>
                <w:bCs/>
                <w:color w:val="auto"/>
                <w:sz w:val="20"/>
                <w:szCs w:val="22"/>
                <w:highlight w:val="none"/>
                <w:lang w:val="zh-CN" w:eastAsia="zh-CN"/>
              </w:rPr>
              <w:t>综合能耗：</w:t>
            </w:r>
            <w:r>
              <w:rPr>
                <w:rFonts w:hint="eastAsia"/>
                <w:color w:val="auto"/>
                <w:sz w:val="20"/>
                <w:szCs w:val="22"/>
                <w:highlight w:val="none"/>
                <w:lang w:val="en-US" w:eastAsia="zh-CN"/>
              </w:rPr>
              <w:t xml:space="preserve">5917.598 tce </w:t>
            </w:r>
          </w:p>
        </w:tc>
        <w:tc>
          <w:tcPr>
            <w:tcW w:w="2835" w:type="dxa"/>
            <w:vMerge w:val="continue"/>
            <w:noWrap w:val="0"/>
            <w:vAlign w:val="top"/>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top"/>
          </w:tcPr>
          <w:p>
            <w:pPr>
              <w:pStyle w:val="3"/>
              <w:spacing w:line="320" w:lineRule="exact"/>
              <w:ind w:firstLine="0" w:firstLineChars="0"/>
              <w:rPr>
                <w:rFonts w:hint="eastAsia"/>
                <w:color w:val="auto"/>
                <w:sz w:val="20"/>
                <w:szCs w:val="22"/>
                <w:highlight w:val="none"/>
                <w:lang w:val="en-US" w:eastAsia="zh-CN"/>
              </w:rPr>
            </w:pPr>
            <w:r>
              <w:rPr>
                <w:rFonts w:hint="eastAsia"/>
                <w:b/>
                <w:bCs/>
                <w:color w:val="auto"/>
                <w:sz w:val="20"/>
                <w:szCs w:val="22"/>
                <w:highlight w:val="none"/>
                <w:lang w:val="en-US" w:eastAsia="zh-CN"/>
              </w:rPr>
              <w:t xml:space="preserve">单位能耗：5.65 </w:t>
            </w:r>
            <w:r>
              <w:rPr>
                <w:rFonts w:hint="eastAsia"/>
                <w:color w:val="auto"/>
                <w:sz w:val="20"/>
                <w:szCs w:val="22"/>
                <w:highlight w:val="none"/>
                <w:lang w:val="en-US" w:eastAsia="zh-CN"/>
              </w:rPr>
              <w:t>kgce/吨</w:t>
            </w:r>
          </w:p>
          <w:p>
            <w:pPr>
              <w:pStyle w:val="3"/>
              <w:spacing w:line="320" w:lineRule="exact"/>
              <w:ind w:firstLine="803" w:firstLineChars="400"/>
              <w:rPr>
                <w:rFonts w:hint="eastAsia"/>
                <w:b/>
                <w:bCs/>
                <w:color w:val="auto"/>
                <w:sz w:val="20"/>
                <w:szCs w:val="22"/>
                <w:highlight w:val="none"/>
                <w:lang w:val="zh-CN" w:eastAsia="zh-CN"/>
              </w:rPr>
            </w:pPr>
          </w:p>
        </w:tc>
        <w:tc>
          <w:tcPr>
            <w:tcW w:w="2835" w:type="dxa"/>
            <w:vMerge w:val="continue"/>
            <w:noWrap w:val="0"/>
            <w:vAlign w:val="top"/>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top"/>
          </w:tcPr>
          <w:p>
            <w:pPr>
              <w:rPr>
                <w:rFonts w:hint="default"/>
                <w:color w:val="auto"/>
                <w:sz w:val="20"/>
                <w:szCs w:val="22"/>
                <w:lang w:val="en-US" w:eastAsia="zh-CN"/>
              </w:rPr>
            </w:pPr>
            <w:r>
              <w:rPr>
                <w:rFonts w:hint="eastAsia"/>
                <w:b/>
                <w:bCs/>
                <w:color w:val="auto"/>
                <w:sz w:val="20"/>
                <w:szCs w:val="22"/>
                <w:lang w:val="en-US" w:eastAsia="zh-CN"/>
              </w:rPr>
              <w:t>节能量（万吨标准煤）</w:t>
            </w:r>
            <w:r>
              <w:rPr>
                <w:rFonts w:hint="eastAsia"/>
                <w:b/>
                <w:bCs/>
                <w:color w:val="auto"/>
                <w:sz w:val="20"/>
                <w:szCs w:val="22"/>
                <w:highlight w:val="none"/>
                <w:lang w:val="en-US" w:eastAsia="zh-CN"/>
              </w:rPr>
              <w:t>：</w:t>
            </w:r>
            <w:r>
              <w:rPr>
                <w:rFonts w:hint="eastAsia"/>
                <w:b/>
                <w:bCs/>
                <w:i/>
                <w:iCs/>
                <w:color w:val="auto"/>
                <w:sz w:val="20"/>
                <w:szCs w:val="22"/>
                <w:highlight w:val="none"/>
                <w:lang w:val="en-US" w:eastAsia="zh-CN"/>
              </w:rPr>
              <w:t>-27.7</w:t>
            </w:r>
          </w:p>
        </w:tc>
        <w:tc>
          <w:tcPr>
            <w:tcW w:w="2835" w:type="dxa"/>
            <w:vMerge w:val="continue"/>
            <w:noWrap w:val="0"/>
            <w:vAlign w:val="top"/>
          </w:tcPr>
          <w:p>
            <w:pPr>
              <w:pStyle w:val="3"/>
              <w:spacing w:line="320" w:lineRule="exact"/>
              <w:ind w:firstLine="0"/>
              <w:rPr>
                <w:rFonts w:hint="eastAsia"/>
                <w:sz w:val="20"/>
              </w:rPr>
            </w:pP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noWrap w:val="0"/>
            <w:vAlign w:val="top"/>
          </w:tcPr>
          <w:p>
            <w:pPr>
              <w:pStyle w:val="3"/>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3"/>
              <w:spacing w:line="400" w:lineRule="exact"/>
              <w:ind w:firstLine="0"/>
              <w:rPr>
                <w:rFonts w:ascii="宋体" w:hAnsi="宋体"/>
                <w:b/>
                <w:color w:val="000000"/>
                <w:sz w:val="24"/>
                <w:szCs w:val="24"/>
              </w:rPr>
            </w:pPr>
            <w:r>
              <w:rPr>
                <w:rFonts w:hint="eastAsia"/>
                <w:sz w:val="20"/>
                <w:szCs w:val="22"/>
                <w:u w:val="single"/>
                <w:lang w:val="en-US" w:eastAsia="zh-CN"/>
              </w:rPr>
              <w:t>XX~XX</w:t>
            </w:r>
            <w:r>
              <w:rPr>
                <w:rFonts w:hint="eastAsia"/>
                <w:sz w:val="20"/>
                <w:szCs w:val="22"/>
              </w:rPr>
              <w:t>日</w:t>
            </w:r>
          </w:p>
        </w:tc>
        <w:tc>
          <w:tcPr>
            <w:tcW w:w="4735" w:type="dxa"/>
            <w:noWrap w:val="0"/>
            <w:vAlign w:val="top"/>
          </w:tcPr>
          <w:p>
            <w:pPr>
              <w:rPr>
                <w:rFonts w:hint="eastAsia"/>
                <w:sz w:val="20"/>
                <w:szCs w:val="22"/>
              </w:rPr>
            </w:pPr>
            <w:r>
              <w:rPr>
                <w:rFonts w:hint="eastAsia"/>
                <w:b/>
                <w:bCs/>
                <w:sz w:val="20"/>
                <w:szCs w:val="22"/>
              </w:rPr>
              <w:t>能耗统计期：</w:t>
            </w:r>
          </w:p>
          <w:p>
            <w:pPr>
              <w:pStyle w:val="3"/>
              <w:spacing w:line="400" w:lineRule="exact"/>
              <w:ind w:firstLine="0" w:firstLineChars="0"/>
              <w:rPr>
                <w:rFonts w:ascii="宋体" w:hAnsi="宋体" w:eastAsia="宋体" w:cs="Times New Roman"/>
                <w:b/>
                <w:color w:val="000000"/>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noWrap w:val="0"/>
            <w:vAlign w:val="top"/>
          </w:tcPr>
          <w:p>
            <w:pPr>
              <w:pStyle w:val="3"/>
              <w:spacing w:line="320" w:lineRule="exact"/>
              <w:ind w:firstLine="0"/>
              <w:rPr>
                <w:rFonts w:ascii="宋体" w:hAns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top"/>
          </w:tcPr>
          <w:p>
            <w:pPr>
              <w:pStyle w:val="3"/>
              <w:spacing w:line="320" w:lineRule="exact"/>
              <w:ind w:firstLine="0"/>
              <w:rPr>
                <w:rFonts w:hint="default" w:eastAsia="宋体"/>
                <w:b/>
                <w:bCs/>
                <w:sz w:val="20"/>
                <w:lang w:val="en-US" w:eastAsia="zh-CN"/>
              </w:rPr>
            </w:pPr>
            <w:r>
              <w:rPr>
                <w:rFonts w:hint="eastAsia"/>
                <w:b/>
                <w:bCs/>
                <w:sz w:val="20"/>
                <w:lang w:val="en-US" w:eastAsia="zh-CN"/>
              </w:rPr>
              <w:t>产量或产值：</w:t>
            </w:r>
          </w:p>
          <w:p>
            <w:pPr>
              <w:pStyle w:val="3"/>
              <w:spacing w:line="320" w:lineRule="exact"/>
              <w:ind w:firstLine="0" w:firstLineChars="0"/>
              <w:rPr>
                <w:rFonts w:hint="eastAsia" w:ascii="宋体" w:hAnsi="宋体" w:eastAsia="宋体" w:cs="Times New Roman"/>
                <w:b/>
                <w:color w:val="000000"/>
                <w:kern w:val="2"/>
                <w:sz w:val="32"/>
                <w:szCs w:val="24"/>
                <w:lang w:val="en-US" w:eastAsia="zh-CN" w:bidi="ar-SA"/>
              </w:rPr>
            </w:pPr>
            <w:r>
              <w:rPr>
                <w:rFonts w:hint="eastAsia"/>
                <w:sz w:val="20"/>
                <w:lang w:val="en-US" w:eastAsia="zh-CN"/>
              </w:rPr>
              <w:t xml:space="preserve"> </w:t>
            </w:r>
          </w:p>
        </w:tc>
        <w:tc>
          <w:tcPr>
            <w:tcW w:w="2835" w:type="dxa"/>
            <w:vMerge w:val="continue"/>
            <w:noWrap w:val="0"/>
            <w:vAlign w:val="top"/>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top"/>
          </w:tcPr>
          <w:p>
            <w:pPr>
              <w:pStyle w:val="3"/>
              <w:spacing w:line="320" w:lineRule="exact"/>
              <w:ind w:firstLine="0"/>
              <w:rPr>
                <w:rFonts w:hint="eastAsia"/>
                <w:b/>
                <w:bCs/>
                <w:sz w:val="20"/>
                <w:szCs w:val="22"/>
                <w:lang w:val="zh-CN"/>
              </w:rPr>
            </w:pPr>
            <w:r>
              <w:rPr>
                <w:rFonts w:hint="eastAsia"/>
                <w:b/>
                <w:bCs/>
                <w:sz w:val="20"/>
                <w:szCs w:val="22"/>
                <w:lang w:val="zh-CN"/>
              </w:rPr>
              <w:t>综合能耗：</w:t>
            </w:r>
          </w:p>
          <w:p>
            <w:pPr>
              <w:pStyle w:val="3"/>
              <w:spacing w:line="320" w:lineRule="exact"/>
              <w:ind w:firstLine="0" w:firstLineChars="0"/>
              <w:rPr>
                <w:rFonts w:hint="eastAsia" w:ascii="宋体" w:hAnsi="宋体" w:eastAsia="宋体" w:cs="Times New Roman"/>
                <w:b/>
                <w:color w:val="000000"/>
                <w:kern w:val="2"/>
                <w:sz w:val="32"/>
                <w:szCs w:val="24"/>
                <w:lang w:val="en-US" w:eastAsia="zh-CN" w:bidi="ar-SA"/>
              </w:rPr>
            </w:pPr>
            <w:r>
              <w:rPr>
                <w:rFonts w:hint="eastAsia"/>
                <w:sz w:val="20"/>
                <w:szCs w:val="22"/>
                <w:lang w:val="en-US" w:eastAsia="zh-CN"/>
              </w:rPr>
              <w:t xml:space="preserve"> </w:t>
            </w:r>
          </w:p>
        </w:tc>
        <w:tc>
          <w:tcPr>
            <w:tcW w:w="2835" w:type="dxa"/>
            <w:vMerge w:val="continue"/>
            <w:noWrap w:val="0"/>
            <w:vAlign w:val="top"/>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top"/>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kern w:val="2"/>
                <w:sz w:val="24"/>
                <w:szCs w:val="24"/>
                <w:lang w:val="en-US" w:eastAsia="zh-CN" w:bidi="ar-SA"/>
              </w:rPr>
            </w:pPr>
          </w:p>
        </w:tc>
        <w:tc>
          <w:tcPr>
            <w:tcW w:w="2835" w:type="dxa"/>
            <w:vMerge w:val="continue"/>
            <w:noWrap w:val="0"/>
            <w:vAlign w:val="top"/>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top"/>
          </w:tcPr>
          <w:p>
            <w:pPr>
              <w:rPr>
                <w:rFonts w:hint="eastAsia"/>
                <w:sz w:val="20"/>
                <w:szCs w:val="22"/>
                <w:lang w:val="en-US" w:eastAsia="zh-CN"/>
              </w:rPr>
            </w:pPr>
            <w:r>
              <w:rPr>
                <w:rFonts w:hint="eastAsia"/>
                <w:b/>
                <w:bCs/>
                <w:sz w:val="20"/>
                <w:szCs w:val="22"/>
                <w:lang w:val="en-US" w:eastAsia="zh-CN"/>
              </w:rPr>
              <w:t>节能量（万吨标准煤）：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noWrap w:val="0"/>
            <w:vAlign w:val="top"/>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noWrap w:val="0"/>
            <w:vAlign w:val="top"/>
          </w:tcPr>
          <w:p>
            <w:pPr>
              <w:pStyle w:val="3"/>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3"/>
              <w:spacing w:line="400" w:lineRule="exact"/>
              <w:ind w:firstLine="0"/>
              <w:rPr>
                <w:rFonts w:ascii="宋体" w:hAnsi="宋体"/>
                <w:b/>
                <w:color w:val="000000"/>
                <w:sz w:val="24"/>
                <w:szCs w:val="24"/>
              </w:rPr>
            </w:pPr>
            <w:r>
              <w:rPr>
                <w:rFonts w:hint="eastAsia"/>
                <w:sz w:val="20"/>
                <w:szCs w:val="22"/>
                <w:u w:val="single"/>
                <w:lang w:val="en-US" w:eastAsia="zh-CN"/>
              </w:rPr>
              <w:t>XX~XX</w:t>
            </w:r>
            <w:r>
              <w:rPr>
                <w:rFonts w:hint="eastAsia"/>
                <w:sz w:val="20"/>
                <w:szCs w:val="22"/>
              </w:rPr>
              <w:t>日</w:t>
            </w:r>
          </w:p>
        </w:tc>
        <w:tc>
          <w:tcPr>
            <w:tcW w:w="4735" w:type="dxa"/>
            <w:noWrap w:val="0"/>
            <w:vAlign w:val="top"/>
          </w:tcPr>
          <w:p>
            <w:pPr>
              <w:rPr>
                <w:rFonts w:hint="eastAsia"/>
                <w:sz w:val="20"/>
                <w:szCs w:val="22"/>
              </w:rPr>
            </w:pPr>
            <w:r>
              <w:rPr>
                <w:rFonts w:hint="eastAsia"/>
                <w:b/>
                <w:bCs/>
                <w:sz w:val="20"/>
                <w:szCs w:val="22"/>
              </w:rPr>
              <w:t>能耗统计期：</w:t>
            </w:r>
          </w:p>
          <w:p>
            <w:pPr>
              <w:pStyle w:val="3"/>
              <w:spacing w:line="400" w:lineRule="exact"/>
              <w:ind w:firstLine="0" w:firstLineChars="0"/>
              <w:rPr>
                <w:rFonts w:ascii="宋体" w:hAnsi="宋体" w:eastAsia="宋体" w:cs="Times New Roman"/>
                <w:b/>
                <w:color w:val="000000"/>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noWrap w:val="0"/>
            <w:vAlign w:val="top"/>
          </w:tcPr>
          <w:p>
            <w:pPr>
              <w:pStyle w:val="3"/>
              <w:spacing w:line="320" w:lineRule="exact"/>
              <w:ind w:firstLine="0"/>
              <w:rPr>
                <w:rFonts w:ascii="宋体" w:hAnsi="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top"/>
          </w:tcPr>
          <w:p>
            <w:pPr>
              <w:pStyle w:val="3"/>
              <w:spacing w:line="320" w:lineRule="exact"/>
              <w:ind w:firstLine="0"/>
              <w:rPr>
                <w:rFonts w:hint="default" w:eastAsia="宋体"/>
                <w:b/>
                <w:bCs/>
                <w:sz w:val="20"/>
                <w:lang w:val="en-US" w:eastAsia="zh-CN"/>
              </w:rPr>
            </w:pPr>
            <w:r>
              <w:rPr>
                <w:rFonts w:hint="eastAsia"/>
                <w:b/>
                <w:bCs/>
                <w:sz w:val="20"/>
                <w:lang w:val="en-US" w:eastAsia="zh-CN"/>
              </w:rPr>
              <w:t>产量或产值：</w:t>
            </w:r>
          </w:p>
          <w:p>
            <w:pPr>
              <w:pStyle w:val="3"/>
              <w:spacing w:line="320" w:lineRule="exact"/>
              <w:ind w:firstLine="0" w:firstLineChars="0"/>
              <w:rPr>
                <w:rFonts w:hint="eastAsia" w:ascii="宋体" w:hAnsi="宋体" w:eastAsia="宋体" w:cs="Times New Roman"/>
                <w:b/>
                <w:color w:val="000000"/>
                <w:kern w:val="2"/>
                <w:sz w:val="32"/>
                <w:szCs w:val="24"/>
                <w:lang w:val="en-US" w:eastAsia="zh-CN" w:bidi="ar-SA"/>
              </w:rPr>
            </w:pPr>
            <w:r>
              <w:rPr>
                <w:rFonts w:hint="eastAsia"/>
                <w:sz w:val="20"/>
                <w:lang w:val="en-US" w:eastAsia="zh-CN"/>
              </w:rPr>
              <w:t xml:space="preserve"> </w:t>
            </w:r>
          </w:p>
        </w:tc>
        <w:tc>
          <w:tcPr>
            <w:tcW w:w="2835" w:type="dxa"/>
            <w:vMerge w:val="continue"/>
            <w:noWrap w:val="0"/>
            <w:vAlign w:val="top"/>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top"/>
          </w:tcPr>
          <w:p>
            <w:pPr>
              <w:pStyle w:val="3"/>
              <w:spacing w:line="320" w:lineRule="exact"/>
              <w:ind w:firstLine="0"/>
              <w:rPr>
                <w:rFonts w:hint="eastAsia"/>
                <w:b/>
                <w:bCs/>
                <w:sz w:val="20"/>
                <w:szCs w:val="22"/>
                <w:lang w:val="zh-CN"/>
              </w:rPr>
            </w:pPr>
            <w:r>
              <w:rPr>
                <w:rFonts w:hint="eastAsia"/>
                <w:b/>
                <w:bCs/>
                <w:sz w:val="20"/>
                <w:szCs w:val="22"/>
                <w:lang w:val="zh-CN"/>
              </w:rPr>
              <w:t>综合能耗：</w:t>
            </w:r>
          </w:p>
          <w:p>
            <w:pPr>
              <w:pStyle w:val="3"/>
              <w:spacing w:line="320" w:lineRule="exact"/>
              <w:ind w:firstLine="0" w:firstLineChars="0"/>
              <w:rPr>
                <w:rFonts w:hint="eastAsia" w:ascii="宋体" w:hAnsi="宋体" w:eastAsia="宋体" w:cs="Times New Roman"/>
                <w:b/>
                <w:color w:val="000000"/>
                <w:kern w:val="2"/>
                <w:sz w:val="32"/>
                <w:szCs w:val="24"/>
                <w:lang w:val="en-US" w:eastAsia="zh-CN" w:bidi="ar-SA"/>
              </w:rPr>
            </w:pPr>
            <w:r>
              <w:rPr>
                <w:rFonts w:hint="eastAsia"/>
                <w:sz w:val="20"/>
                <w:szCs w:val="22"/>
                <w:lang w:val="en-US" w:eastAsia="zh-CN"/>
              </w:rPr>
              <w:t xml:space="preserve"> </w:t>
            </w:r>
          </w:p>
        </w:tc>
        <w:tc>
          <w:tcPr>
            <w:tcW w:w="2835" w:type="dxa"/>
            <w:vMerge w:val="continue"/>
            <w:noWrap w:val="0"/>
            <w:vAlign w:val="top"/>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top"/>
          </w:tcPr>
          <w:p>
            <w:pPr>
              <w:rPr>
                <w:rFonts w:ascii="宋体" w:hAnsi="宋体" w:eastAsia="宋体" w:cs="Times New Roman"/>
                <w:b/>
                <w:color w:val="000000"/>
                <w:kern w:val="2"/>
                <w:sz w:val="24"/>
                <w:szCs w:val="24"/>
                <w:lang w:val="en-US" w:eastAsia="zh-CN" w:bidi="ar-SA"/>
              </w:rPr>
            </w:pPr>
            <w:r>
              <w:rPr>
                <w:rFonts w:hint="eastAsia"/>
                <w:b/>
                <w:bCs/>
                <w:sz w:val="20"/>
                <w:szCs w:val="22"/>
                <w:lang w:val="en-US" w:eastAsia="zh-CN"/>
              </w:rPr>
              <w:t>单位能耗：</w:t>
            </w:r>
          </w:p>
        </w:tc>
        <w:tc>
          <w:tcPr>
            <w:tcW w:w="2835" w:type="dxa"/>
            <w:vMerge w:val="continue"/>
            <w:noWrap w:val="0"/>
            <w:vAlign w:val="top"/>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036" w:type="dxa"/>
            <w:vMerge w:val="continue"/>
            <w:noWrap w:val="0"/>
            <w:vAlign w:val="top"/>
          </w:tcPr>
          <w:p>
            <w:pPr>
              <w:pStyle w:val="3"/>
              <w:spacing w:line="400" w:lineRule="exact"/>
              <w:ind w:firstLine="0"/>
              <w:rPr>
                <w:rFonts w:hint="eastAsia"/>
                <w:sz w:val="20"/>
                <w:szCs w:val="22"/>
              </w:rPr>
            </w:pPr>
          </w:p>
        </w:tc>
        <w:tc>
          <w:tcPr>
            <w:tcW w:w="4735" w:type="dxa"/>
            <w:noWrap w:val="0"/>
            <w:vAlign w:val="top"/>
          </w:tcPr>
          <w:p>
            <w:pPr>
              <w:rPr>
                <w:rFonts w:hint="eastAsia" w:ascii="Times New Roman" w:hAnsi="Times New Roman" w:eastAsia="宋体" w:cs="Times New Roman"/>
                <w:kern w:val="2"/>
                <w:sz w:val="20"/>
                <w:szCs w:val="22"/>
                <w:lang w:val="en-US" w:eastAsia="zh-CN" w:bidi="ar-SA"/>
              </w:rPr>
            </w:pPr>
            <w:r>
              <w:rPr>
                <w:rFonts w:hint="eastAsia"/>
                <w:b/>
                <w:bCs/>
                <w:sz w:val="20"/>
                <w:szCs w:val="22"/>
                <w:lang w:val="en-US" w:eastAsia="zh-CN"/>
              </w:rPr>
              <w:t>节能量（万吨标准煤）：</w:t>
            </w:r>
          </w:p>
        </w:tc>
        <w:tc>
          <w:tcPr>
            <w:tcW w:w="2835" w:type="dxa"/>
            <w:vMerge w:val="continue"/>
            <w:noWrap w:val="0"/>
            <w:vAlign w:val="top"/>
          </w:tcPr>
          <w:p>
            <w:pPr>
              <w:pStyle w:val="3"/>
              <w:spacing w:line="320" w:lineRule="exact"/>
              <w:ind w:firstLine="0"/>
              <w:rPr>
                <w:rFonts w:hint="eastAsia"/>
                <w:sz w:val="20"/>
              </w:rPr>
            </w:pPr>
          </w:p>
        </w:tc>
      </w:tr>
    </w:tbl>
    <w:p>
      <w:pPr>
        <w:pStyle w:val="7"/>
        <w:keepNext w:val="0"/>
        <w:keepLines w:val="0"/>
        <w:widowControl/>
        <w:suppressLineNumbers w:val="0"/>
        <w:spacing w:before="0" w:beforeAutospacing="0" w:after="0" w:afterAutospacing="0"/>
        <w:ind w:left="0" w:right="0" w:firstLine="0"/>
        <w:rPr>
          <w:rFonts w:ascii="宋体" w:hAnsi="宋体"/>
          <w:b/>
          <w:color w:val="000000"/>
          <w:sz w:val="24"/>
          <w:szCs w:val="24"/>
        </w:rPr>
      </w:pPr>
    </w:p>
    <w:p>
      <w:pPr>
        <w:pStyle w:val="2"/>
      </w:pPr>
    </w:p>
    <w:p>
      <w:pPr>
        <w:pStyle w:val="3"/>
        <w:widowControl w:val="0"/>
        <w:numPr>
          <w:ilvl w:val="0"/>
          <w:numId w:val="0"/>
        </w:numPr>
        <w:snapToGrid w:val="0"/>
        <w:spacing w:line="0" w:lineRule="atLeast"/>
        <w:jc w:val="both"/>
        <w:rPr>
          <w:rFonts w:hint="eastAsia" w:ascii="宋体" w:hAnsi="宋体"/>
          <w:b/>
          <w:color w:val="000000" w:themeColor="text1"/>
          <w:sz w:val="18"/>
          <w:szCs w:val="18"/>
        </w:rPr>
      </w:pP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jc w:val="left"/>
    </w:pPr>
    <w:r>
      <w:pict>
        <v:shape id="_x0000_s3073" o:spid="_x0000_s3073"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5"/>
        <w:rFonts w:hint="default"/>
        <w:w w:val="90"/>
      </w:rPr>
      <w:t>Beijing International Standard united Certification Co.,Ltd.</w:t>
    </w:r>
  </w:p>
  <w:p>
    <w:r>
      <w:pict>
        <v:shape id="_x0000_s3074" o:spid="_x0000_s3074"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65CE0"/>
    <w:multiLevelType w:val="singleLevel"/>
    <w:tmpl w:val="9F165CE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
      <o:rules v:ext="edit">
        <o:r id="V:Rule1" type="connector" idref="#_x0000_s307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EA90DA5"/>
    <w:rsid w:val="39325561"/>
    <w:rsid w:val="512145F5"/>
    <w:rsid w:val="7C3404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0"/>
    <w:pPr>
      <w:autoSpaceDE w:val="0"/>
      <w:autoSpaceDN w:val="0"/>
      <w:adjustRightInd w:val="0"/>
      <w:spacing w:beforeLines="0" w:after="0" w:afterLines="0" w:line="360" w:lineRule="auto"/>
      <w:ind w:left="0" w:firstLine="420" w:firstLineChars="200"/>
      <w:jc w:val="left"/>
    </w:pPr>
    <w:rPr>
      <w:rFonts w:hint="default"/>
      <w:kern w:val="0"/>
      <w:sz w:val="24"/>
    </w:rPr>
  </w:style>
  <w:style w:type="paragraph" w:styleId="3">
    <w:name w:val="Body Text Indent"/>
    <w:basedOn w:val="1"/>
    <w:next w:val="4"/>
    <w:link w:val="12"/>
    <w:qFormat/>
    <w:uiPriority w:val="0"/>
    <w:pPr>
      <w:snapToGrid w:val="0"/>
      <w:spacing w:line="336" w:lineRule="auto"/>
      <w:ind w:firstLine="630"/>
    </w:pPr>
    <w:rPr>
      <w:sz w:val="32"/>
    </w:rPr>
  </w:style>
  <w:style w:type="paragraph" w:styleId="4">
    <w:name w:val="toc 3"/>
    <w:basedOn w:val="1"/>
    <w:next w:val="1"/>
    <w:unhideWhenUsed/>
    <w:qFormat/>
    <w:uiPriority w:val="0"/>
    <w:pPr>
      <w:spacing w:beforeLines="0" w:afterLines="0"/>
      <w:ind w:left="400" w:leftChars="400"/>
    </w:pPr>
    <w:rPr>
      <w:rFonts w:hint="default"/>
      <w:sz w:val="21"/>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9">
    <w:name w:val="Table Grid"/>
    <w:basedOn w:val="8"/>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extDirection w:val="lrTbV"/>
    </w:tcPr>
  </w:style>
  <w:style w:type="character" w:styleId="11">
    <w:name w:val="Hyperlink"/>
    <w:basedOn w:val="10"/>
    <w:qFormat/>
    <w:uiPriority w:val="0"/>
    <w:rPr>
      <w:color w:val="0000FF" w:themeColor="hyperlink"/>
      <w:u w:val="single"/>
    </w:rPr>
  </w:style>
  <w:style w:type="character" w:customStyle="1" w:styleId="12">
    <w:name w:val="正文文本缩进 Char"/>
    <w:basedOn w:val="10"/>
    <w:link w:val="3"/>
    <w:qFormat/>
    <w:uiPriority w:val="0"/>
    <w:rPr>
      <w:rFonts w:ascii="Times New Roman" w:hAnsi="Times New Roman" w:eastAsia="宋体" w:cs="Times New Roman"/>
      <w:sz w:val="32"/>
      <w:szCs w:val="20"/>
    </w:rPr>
  </w:style>
  <w:style w:type="character" w:customStyle="1" w:styleId="13">
    <w:name w:val="页眉 Char"/>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8</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2021-06-08T11:41:10Z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998092570F344DBC869F41138FB275A9</vt:lpwstr>
  </property>
</Properties>
</file>